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86" w:rsidRPr="006611B0" w:rsidRDefault="000A0686" w:rsidP="008A16DE">
      <w:pPr>
        <w:spacing w:after="60" w:line="240" w:lineRule="auto"/>
        <w:jc w:val="right"/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</w:pPr>
      <w:bookmarkStart w:id="0" w:name="_Toc365981372"/>
      <w:r w:rsidRPr="006611B0"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>C</w:t>
      </w:r>
      <w:r w:rsidR="006611B0"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 xml:space="preserve">HAPTER </w:t>
      </w:r>
      <w:r w:rsidRPr="006611B0"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>V</w:t>
      </w:r>
    </w:p>
    <w:p w:rsidR="000A0686" w:rsidRPr="006611B0" w:rsidRDefault="00F11AF3" w:rsidP="008A16DE">
      <w:pPr>
        <w:spacing w:after="0" w:line="240" w:lineRule="auto"/>
        <w:jc w:val="right"/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</w:pPr>
      <w:r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 xml:space="preserve">TERRITORIAL AND INDUSTRY </w:t>
      </w:r>
      <w:r w:rsidR="000824A1" w:rsidRPr="006611B0"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>CASE STUD</w:t>
      </w:r>
      <w:r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  <w:t>IES</w:t>
      </w:r>
    </w:p>
    <w:p w:rsidR="000A0686" w:rsidRPr="006611B0" w:rsidRDefault="000A0686" w:rsidP="008A16DE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1"/>
          <w:szCs w:val="21"/>
          <w:lang w:val="en-GB" w:eastAsia="it-IT"/>
        </w:rPr>
      </w:pPr>
    </w:p>
    <w:p w:rsidR="000A0686" w:rsidRPr="006611B0" w:rsidRDefault="000A0686" w:rsidP="008A16DE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1"/>
          <w:szCs w:val="21"/>
          <w:lang w:val="en-GB" w:eastAsia="it-IT"/>
        </w:rPr>
      </w:pPr>
    </w:p>
    <w:p w:rsidR="0029092E" w:rsidRPr="006611B0" w:rsidRDefault="0029092E" w:rsidP="008A16DE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1"/>
          <w:szCs w:val="21"/>
          <w:lang w:val="en-GB" w:eastAsia="it-IT"/>
        </w:rPr>
      </w:pPr>
    </w:p>
    <w:p w:rsidR="00E43A5E" w:rsidRPr="006611B0" w:rsidRDefault="00F11AF3" w:rsidP="008A16DE">
      <w:pPr>
        <w:pStyle w:val="Testonotaapidipagina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his chapter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contains a summary of the </w:t>
      </w:r>
      <w:r w:rsidR="0029092E" w:rsidRPr="00F11AF3">
        <w:rPr>
          <w:rFonts w:ascii="Times New Roman" w:hAnsi="Times New Roman"/>
          <w:spacing w:val="-2"/>
          <w:sz w:val="21"/>
          <w:szCs w:val="21"/>
          <w:lang w:val="en-GB"/>
        </w:rPr>
        <w:t>case stud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ies carried out on the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logistics system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. The full case studies are available </w:t>
      </w:r>
      <w:r w:rsidR="00B47699">
        <w:rPr>
          <w:rFonts w:ascii="Times New Roman" w:hAnsi="Times New Roman"/>
          <w:spacing w:val="-2"/>
          <w:sz w:val="21"/>
          <w:szCs w:val="21"/>
          <w:lang w:val="en-GB"/>
        </w:rPr>
        <w:t xml:space="preserve">in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Italian version of the paper</w:t>
      </w:r>
      <w:r w:rsidR="00B47699">
        <w:rPr>
          <w:rFonts w:ascii="Times New Roman" w:hAnsi="Times New Roman"/>
          <w:spacing w:val="-2"/>
          <w:sz w:val="21"/>
          <w:szCs w:val="21"/>
          <w:lang w:val="en-GB"/>
        </w:rPr>
        <w:t xml:space="preserve"> at www</w:t>
      </w:r>
      <w:r w:rsidR="00B602FE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  <w:r w:rsidR="00B47699">
        <w:rPr>
          <w:rFonts w:ascii="Times New Roman" w:hAnsi="Times New Roman"/>
          <w:spacing w:val="-2"/>
          <w:sz w:val="21"/>
          <w:szCs w:val="21"/>
          <w:lang w:val="en-GB"/>
        </w:rPr>
        <w:t>srm-maritimeconomy.com.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</w:p>
    <w:p w:rsidR="0029092E" w:rsidRPr="006611B0" w:rsidRDefault="00F11AF3" w:rsidP="008A16DE">
      <w:pPr>
        <w:pStyle w:val="Testonotaapidipagina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>abstract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 below allow a closer look at the sector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in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 </w:t>
      </w:r>
      <w:r w:rsidR="006611B0" w:rsidRPr="006611B0">
        <w:rPr>
          <w:rFonts w:ascii="Times New Roman" w:hAnsi="Times New Roman"/>
          <w:spacing w:val="-2"/>
          <w:sz w:val="21"/>
          <w:szCs w:val="21"/>
          <w:lang w:val="en-GB"/>
        </w:rPr>
        <w:t>dual perspective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: </w:t>
      </w:r>
    </w:p>
    <w:p w:rsidR="0029092E" w:rsidRPr="006611B0" w:rsidRDefault="0029092E" w:rsidP="008A16DE">
      <w:pPr>
        <w:pStyle w:val="Testonotaapidipagina"/>
        <w:ind w:firstLine="284"/>
        <w:jc w:val="both"/>
        <w:rPr>
          <w:rFonts w:ascii="Times New Roman" w:hAnsi="Times New Roman"/>
          <w:spacing w:val="-2"/>
          <w:sz w:val="8"/>
          <w:szCs w:val="8"/>
          <w:lang w:val="en-GB"/>
        </w:rPr>
      </w:pPr>
    </w:p>
    <w:p w:rsidR="0029092E" w:rsidRPr="006611B0" w:rsidRDefault="00E43A5E" w:rsidP="008A16DE">
      <w:pPr>
        <w:pStyle w:val="Testonotaapidipagina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 w:rsidRPr="006611B0">
        <w:rPr>
          <w:rFonts w:ascii="Times New Roman" w:hAnsi="Times New Roman"/>
          <w:i/>
          <w:spacing w:val="-2"/>
          <w:sz w:val="21"/>
          <w:szCs w:val="21"/>
          <w:lang w:val="en-GB"/>
        </w:rPr>
        <w:t>T</w:t>
      </w:r>
      <w:r w:rsidR="0029092E" w:rsidRPr="006611B0">
        <w:rPr>
          <w:rFonts w:ascii="Times New Roman" w:hAnsi="Times New Roman"/>
          <w:i/>
          <w:spacing w:val="-2"/>
          <w:sz w:val="21"/>
          <w:szCs w:val="21"/>
          <w:lang w:val="en-GB"/>
        </w:rPr>
        <w:t>erritorial:</w:t>
      </w:r>
    </w:p>
    <w:p w:rsidR="0029092E" w:rsidRPr="006611B0" w:rsidRDefault="0029092E" w:rsidP="008A16DE">
      <w:pPr>
        <w:pStyle w:val="Testonotaapidipagina"/>
        <w:ind w:left="284"/>
        <w:jc w:val="both"/>
        <w:rPr>
          <w:rFonts w:ascii="Times New Roman" w:hAnsi="Times New Roman"/>
          <w:spacing w:val="-2"/>
          <w:sz w:val="4"/>
          <w:szCs w:val="4"/>
          <w:lang w:val="en-GB"/>
        </w:rPr>
      </w:pPr>
    </w:p>
    <w:p w:rsidR="0029092E" w:rsidRPr="006611B0" w:rsidRDefault="00F11AF3" w:rsidP="008A16DE">
      <w:pPr>
        <w:pStyle w:val="Testonotaapidipagina"/>
        <w:numPr>
          <w:ilvl w:val="0"/>
          <w:numId w:val="16"/>
        </w:numPr>
        <w:ind w:left="567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logistics system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Lombardy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with an analysis of the main context factors and of the regional policies adopted to support the sector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29092E" w:rsidRPr="006611B0" w:rsidRDefault="00F11AF3" w:rsidP="008A16DE">
      <w:pPr>
        <w:pStyle w:val="Testonotaapidipagina"/>
        <w:numPr>
          <w:ilvl w:val="0"/>
          <w:numId w:val="16"/>
        </w:numPr>
        <w:ind w:left="567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An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analysis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the new growth strategies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for Southern Italy, with an eye to inter-Mediterranean relations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and specific focus on the </w:t>
      </w:r>
      <w:r w:rsidR="0029092E" w:rsidRPr="00F11AF3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E43A5E" w:rsidRPr="00F11AF3">
        <w:rPr>
          <w:rFonts w:ascii="Times New Roman" w:hAnsi="Times New Roman"/>
          <w:spacing w:val="-2"/>
          <w:sz w:val="21"/>
          <w:szCs w:val="21"/>
          <w:lang w:val="en-GB"/>
        </w:rPr>
        <w:t xml:space="preserve">hort </w:t>
      </w:r>
      <w:r w:rsidR="0029092E" w:rsidRPr="00F11AF3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E43A5E" w:rsidRPr="00F11AF3">
        <w:rPr>
          <w:rFonts w:ascii="Times New Roman" w:hAnsi="Times New Roman"/>
          <w:spacing w:val="-2"/>
          <w:sz w:val="21"/>
          <w:szCs w:val="21"/>
          <w:lang w:val="en-GB"/>
        </w:rPr>
        <w:t xml:space="preserve">ea </w:t>
      </w:r>
      <w:r w:rsidR="0029092E" w:rsidRPr="00F11AF3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E43A5E" w:rsidRPr="00F11AF3">
        <w:rPr>
          <w:rFonts w:ascii="Times New Roman" w:hAnsi="Times New Roman"/>
          <w:spacing w:val="-2"/>
          <w:sz w:val="21"/>
          <w:szCs w:val="21"/>
          <w:lang w:val="en-GB"/>
        </w:rPr>
        <w:t>hipping</w:t>
      </w:r>
      <w:r w:rsidR="0029092E" w:rsidRPr="00F11AF3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and value-added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levers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29092E" w:rsidRPr="006611B0" w:rsidRDefault="00F11AF3" w:rsidP="008A16DE">
      <w:pPr>
        <w:pStyle w:val="Testonotaapidipagina"/>
        <w:numPr>
          <w:ilvl w:val="0"/>
          <w:numId w:val="16"/>
        </w:numPr>
        <w:ind w:left="567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 survey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Italy’s </w:t>
      </w:r>
      <w:r w:rsidR="006611B0">
        <w:rPr>
          <w:rFonts w:ascii="Times New Roman" w:hAnsi="Times New Roman"/>
          <w:spacing w:val="-2"/>
          <w:sz w:val="21"/>
          <w:szCs w:val="21"/>
          <w:lang w:val="en-GB"/>
        </w:rPr>
        <w:t>logistics nodes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785A0B">
        <w:rPr>
          <w:rFonts w:ascii="Times New Roman" w:hAnsi="Times New Roman"/>
          <w:spacing w:val="-2"/>
          <w:sz w:val="21"/>
          <w:szCs w:val="21"/>
          <w:lang w:val="en-GB"/>
        </w:rPr>
        <w:t>with the finings of the survey of freight forwarders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29092E" w:rsidRPr="006611B0" w:rsidRDefault="0029092E" w:rsidP="008A16DE">
      <w:pPr>
        <w:pStyle w:val="Testonotaapidipagina"/>
        <w:jc w:val="both"/>
        <w:rPr>
          <w:rFonts w:ascii="Times New Roman" w:hAnsi="Times New Roman"/>
          <w:spacing w:val="-2"/>
          <w:sz w:val="8"/>
          <w:szCs w:val="4"/>
          <w:lang w:val="en-GB"/>
        </w:rPr>
      </w:pPr>
    </w:p>
    <w:p w:rsidR="0029092E" w:rsidRPr="006611B0" w:rsidRDefault="006611B0" w:rsidP="008A16DE">
      <w:pPr>
        <w:pStyle w:val="Testonotaapidipagina"/>
        <w:numPr>
          <w:ilvl w:val="0"/>
          <w:numId w:val="11"/>
        </w:numPr>
        <w:ind w:left="284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 w:rsidRPr="006611B0">
        <w:rPr>
          <w:rFonts w:ascii="Times New Roman" w:hAnsi="Times New Roman"/>
          <w:i/>
          <w:spacing w:val="-2"/>
          <w:sz w:val="21"/>
          <w:szCs w:val="21"/>
          <w:lang w:val="en-GB"/>
        </w:rPr>
        <w:t>Industry</w:t>
      </w:r>
      <w:r w:rsidR="0029092E" w:rsidRPr="006611B0">
        <w:rPr>
          <w:rFonts w:ascii="Times New Roman" w:hAnsi="Times New Roman"/>
          <w:spacing w:val="-2"/>
          <w:sz w:val="21"/>
          <w:szCs w:val="21"/>
          <w:lang w:val="en-GB"/>
        </w:rPr>
        <w:t>:</w:t>
      </w:r>
    </w:p>
    <w:p w:rsidR="00E43A5E" w:rsidRPr="006611B0" w:rsidRDefault="00E43A5E" w:rsidP="008A16DE">
      <w:pPr>
        <w:pStyle w:val="Testonotaapidipagina"/>
        <w:ind w:left="284"/>
        <w:jc w:val="both"/>
        <w:rPr>
          <w:rFonts w:ascii="Times New Roman" w:hAnsi="Times New Roman"/>
          <w:spacing w:val="-2"/>
          <w:sz w:val="4"/>
          <w:szCs w:val="4"/>
          <w:lang w:val="en-GB"/>
        </w:rPr>
      </w:pPr>
    </w:p>
    <w:p w:rsidR="00E43A5E" w:rsidRPr="006611B0" w:rsidRDefault="006611B0" w:rsidP="005D1A8A">
      <w:pPr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An analysis of logistics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competitiveness through the findings of </w:t>
      </w:r>
      <w:r w:rsidR="0023741A">
        <w:rPr>
          <w:rFonts w:ascii="Times New Roman" w:hAnsi="Times New Roman"/>
          <w:spacing w:val="-2"/>
          <w:sz w:val="21"/>
          <w:szCs w:val="21"/>
          <w:lang w:val="en-GB"/>
        </w:rPr>
        <w:t xml:space="preserve">sample-based survey </w:t>
      </w:r>
      <w:r w:rsidR="00F11AF3">
        <w:rPr>
          <w:rFonts w:ascii="Times New Roman" w:hAnsi="Times New Roman"/>
          <w:spacing w:val="-2"/>
          <w:sz w:val="21"/>
          <w:szCs w:val="21"/>
          <w:lang w:val="en-GB"/>
        </w:rPr>
        <w:t xml:space="preserve">of the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manufacturing sector</w:t>
      </w:r>
      <w:r w:rsidR="00744B69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E43A5E" w:rsidRPr="006611B0" w:rsidRDefault="000E3B14" w:rsidP="008A16DE">
      <w:pPr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An analysis of process logistics</w:t>
      </w:r>
      <w:r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innovation and 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>integra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ion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for the 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>export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ing of </w:t>
      </w:r>
      <w:r w:rsidR="00F11AF3">
        <w:rPr>
          <w:rFonts w:ascii="Times New Roman" w:hAnsi="Times New Roman"/>
          <w:spacing w:val="-2"/>
          <w:sz w:val="21"/>
          <w:szCs w:val="21"/>
          <w:lang w:val="en-GB"/>
        </w:rPr>
        <w:t xml:space="preserve">Italian </w:t>
      </w:r>
      <w:proofErr w:type="spellStart"/>
      <w:r>
        <w:rPr>
          <w:rFonts w:ascii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23741A"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food supply chains</w:t>
      </w:r>
      <w:r w:rsidR="00E43A5E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081B0C" w:rsidRPr="006611B0" w:rsidRDefault="00081B0C" w:rsidP="008A16DE">
      <w:pPr>
        <w:pStyle w:val="Titolo1"/>
        <w:spacing w:before="0" w:line="240" w:lineRule="auto"/>
        <w:jc w:val="both"/>
        <w:rPr>
          <w:rFonts w:ascii="Times New Roman" w:hAnsi="Times New Roman"/>
          <w:smallCaps/>
          <w:color w:val="000000"/>
          <w:spacing w:val="-2"/>
          <w:sz w:val="21"/>
          <w:szCs w:val="21"/>
          <w:lang w:val="en-GB"/>
        </w:rPr>
      </w:pPr>
    </w:p>
    <w:p w:rsidR="00E43A5E" w:rsidRPr="006611B0" w:rsidRDefault="00E43A5E" w:rsidP="008A16DE">
      <w:pPr>
        <w:spacing w:after="0" w:line="240" w:lineRule="auto"/>
        <w:jc w:val="both"/>
        <w:rPr>
          <w:lang w:val="en-GB"/>
        </w:rPr>
      </w:pPr>
    </w:p>
    <w:p w:rsidR="0029092E" w:rsidRPr="006611B0" w:rsidRDefault="0029092E" w:rsidP="008A16DE">
      <w:pPr>
        <w:spacing w:after="0" w:line="240" w:lineRule="auto"/>
        <w:jc w:val="both"/>
        <w:rPr>
          <w:lang w:val="en-GB"/>
        </w:rPr>
      </w:pPr>
    </w:p>
    <w:p w:rsidR="00B3061C" w:rsidRPr="006611B0" w:rsidRDefault="00B62CA9" w:rsidP="008A16DE">
      <w:pPr>
        <w:pStyle w:val="Titolo1"/>
        <w:spacing w:before="0" w:line="240" w:lineRule="auto"/>
        <w:jc w:val="right"/>
        <w:rPr>
          <w:rFonts w:ascii="Times New Roman" w:hAnsi="Times New Roman"/>
          <w:b w:val="0"/>
          <w:smallCaps/>
          <w:color w:val="000000"/>
          <w:spacing w:val="-2"/>
          <w:sz w:val="21"/>
          <w:szCs w:val="21"/>
          <w:lang w:val="en-GB"/>
        </w:rPr>
      </w:pPr>
      <w:r w:rsidRPr="006611B0">
        <w:rPr>
          <w:rFonts w:ascii="Times New Roman" w:hAnsi="Times New Roman"/>
          <w:b w:val="0"/>
          <w:smallCaps/>
          <w:color w:val="000000"/>
          <w:spacing w:val="-2"/>
          <w:sz w:val="21"/>
          <w:szCs w:val="21"/>
          <w:lang w:val="en-GB"/>
        </w:rPr>
        <w:t>CASE STUDY 1</w:t>
      </w:r>
    </w:p>
    <w:p w:rsidR="00B62CA9" w:rsidRPr="006611B0" w:rsidRDefault="006611B0" w:rsidP="008A16DE">
      <w:pPr>
        <w:pStyle w:val="Titolo1"/>
        <w:spacing w:before="0" w:line="240" w:lineRule="auto"/>
        <w:jc w:val="right"/>
        <w:rPr>
          <w:rFonts w:ascii="Times New Roman" w:hAnsi="Times New Roman"/>
          <w:b w:val="0"/>
          <w:smallCaps/>
          <w:color w:val="000000"/>
          <w:spacing w:val="-2"/>
          <w:sz w:val="21"/>
          <w:szCs w:val="21"/>
          <w:lang w:val="en-GB"/>
        </w:rPr>
      </w:pPr>
      <w:r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ANALYSIS</w:t>
      </w:r>
      <w:r w:rsidR="00B3061C"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OF FACTORS AND REGIONAL POLICIES </w:t>
      </w:r>
      <w:r w:rsidR="0071591F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br/>
      </w:r>
      <w:r w:rsidR="007702D8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FOR THE </w:t>
      </w:r>
      <w:r w:rsidR="0023741A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DEVELOPMENT</w:t>
      </w:r>
      <w:r w:rsidR="00B3061C"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OF THE </w:t>
      </w:r>
      <w:r w:rsidR="0021420F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INDUSTRY</w:t>
      </w:r>
      <w:r w:rsidR="00B3061C"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IN </w:t>
      </w:r>
      <w:r w:rsidR="007702D8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LOMBARDY</w:t>
      </w:r>
    </w:p>
    <w:bookmarkEnd w:id="0"/>
    <w:p w:rsidR="00B62CA9" w:rsidRPr="006611B0" w:rsidRDefault="00B62CA9" w:rsidP="008A16DE">
      <w:pPr>
        <w:spacing w:after="0" w:line="240" w:lineRule="auto"/>
        <w:jc w:val="both"/>
        <w:rPr>
          <w:rFonts w:ascii="Times New Roman" w:eastAsia="Times New Roman" w:hAnsi="Times New Roman"/>
          <w:bCs/>
          <w:smallCaps/>
          <w:color w:val="000000"/>
          <w:spacing w:val="-2"/>
          <w:sz w:val="21"/>
          <w:szCs w:val="21"/>
          <w:lang w:val="en-GB"/>
        </w:rPr>
      </w:pPr>
    </w:p>
    <w:p w:rsidR="00CE725D" w:rsidRPr="006611B0" w:rsidRDefault="007702D8" w:rsidP="008A16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 xml:space="preserve">The action taken to support the growth and strengthening of the </w:t>
      </w:r>
      <w:r w:rsidR="000E3B14">
        <w:rPr>
          <w:rFonts w:ascii="Times New Roman" w:hAnsi="Times New Roman"/>
          <w:sz w:val="21"/>
          <w:szCs w:val="21"/>
          <w:lang w:val="en-GB"/>
        </w:rPr>
        <w:t>logistics sector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in the past 15 years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z w:val="21"/>
          <w:szCs w:val="21"/>
          <w:lang w:val="en-GB"/>
        </w:rPr>
        <w:t>to face changing needs and dynamics in the reference territories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, ha</w:t>
      </w:r>
      <w:r>
        <w:rPr>
          <w:rFonts w:ascii="Times New Roman" w:hAnsi="Times New Roman"/>
          <w:sz w:val="21"/>
          <w:szCs w:val="21"/>
          <w:lang w:val="en-GB"/>
        </w:rPr>
        <w:t>ve allowed Lombardy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 xml:space="preserve">to stand out compared to the rest of </w:t>
      </w:r>
      <w:r w:rsidR="006611B0">
        <w:rPr>
          <w:rFonts w:ascii="Times New Roman" w:hAnsi="Times New Roman"/>
          <w:sz w:val="21"/>
          <w:szCs w:val="21"/>
          <w:lang w:val="en-GB"/>
        </w:rPr>
        <w:t>Italy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,</w:t>
      </w:r>
      <w:r>
        <w:rPr>
          <w:rFonts w:ascii="Times New Roman" w:hAnsi="Times New Roman"/>
          <w:sz w:val="21"/>
          <w:szCs w:val="21"/>
          <w:lang w:val="en-GB"/>
        </w:rPr>
        <w:t xml:space="preserve"> although the gap separating it from the levels of efficiency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competitiveness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achieved by the main logistics areas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in Europe is still a wide one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. </w:t>
      </w:r>
    </w:p>
    <w:p w:rsidR="00CE725D" w:rsidRPr="006611B0" w:rsidRDefault="0023741A" w:rsidP="008A16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>The presence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sz w:val="21"/>
          <w:szCs w:val="21"/>
          <w:lang w:val="en-GB"/>
        </w:rPr>
        <w:t xml:space="preserve">on its </w:t>
      </w:r>
      <w:r>
        <w:rPr>
          <w:rFonts w:ascii="Times New Roman" w:hAnsi="Times New Roman"/>
          <w:sz w:val="21"/>
          <w:szCs w:val="21"/>
          <w:lang w:val="en-GB"/>
        </w:rPr>
        <w:t>territory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sz w:val="21"/>
          <w:szCs w:val="21"/>
          <w:lang w:val="en-GB"/>
        </w:rPr>
        <w:t>of the largest share in Italy of logistics operators and services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7702D8">
        <w:rPr>
          <w:rFonts w:ascii="Times New Roman" w:hAnsi="Times New Roman"/>
          <w:sz w:val="21"/>
          <w:szCs w:val="21"/>
          <w:lang w:val="en-GB"/>
        </w:rPr>
        <w:t>innovation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on the front of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governance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public-private partnerships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for the </w:t>
      </w:r>
      <w:r>
        <w:rPr>
          <w:rFonts w:ascii="Times New Roman" w:hAnsi="Times New Roman"/>
          <w:sz w:val="21"/>
          <w:szCs w:val="21"/>
          <w:lang w:val="en-GB"/>
        </w:rPr>
        <w:t>financing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construction of </w:t>
      </w:r>
      <w:r w:rsidR="000E3B14">
        <w:rPr>
          <w:rFonts w:ascii="Times New Roman" w:hAnsi="Times New Roman"/>
          <w:sz w:val="21"/>
          <w:szCs w:val="21"/>
          <w:lang w:val="en-GB"/>
        </w:rPr>
        <w:t>infrastructures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a</w:t>
      </w:r>
      <w:r w:rsidR="005D04B0">
        <w:rPr>
          <w:rFonts w:ascii="Times New Roman" w:hAnsi="Times New Roman"/>
          <w:sz w:val="21"/>
          <w:szCs w:val="21"/>
          <w:lang w:val="en-GB"/>
        </w:rPr>
        <w:t>t the service of goods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the regional programmes and plans dedicated to the </w:t>
      </w:r>
      <w:r>
        <w:rPr>
          <w:rFonts w:ascii="Times New Roman" w:hAnsi="Times New Roman"/>
          <w:sz w:val="21"/>
          <w:szCs w:val="21"/>
          <w:lang w:val="en-GB"/>
        </w:rPr>
        <w:t>development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of </w:t>
      </w:r>
      <w:r w:rsidR="006611B0">
        <w:rPr>
          <w:rFonts w:ascii="Times New Roman" w:hAnsi="Times New Roman"/>
          <w:sz w:val="21"/>
          <w:szCs w:val="21"/>
          <w:lang w:val="en-GB"/>
        </w:rPr>
        <w:t>logistics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intermodal transport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5D04B0">
        <w:rPr>
          <w:rFonts w:ascii="Times New Roman" w:hAnsi="Times New Roman"/>
          <w:sz w:val="21"/>
          <w:szCs w:val="21"/>
          <w:lang w:val="en-GB"/>
        </w:rPr>
        <w:t>the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tonnes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of goods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handled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in intermodal poles 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airports,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o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r transiting through border crossings, are all elements which testify to how much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atten</w:t>
      </w:r>
      <w:r w:rsidR="005D04B0">
        <w:rPr>
          <w:rFonts w:ascii="Times New Roman" w:hAnsi="Times New Roman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ion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 and </w:t>
      </w:r>
      <w:r>
        <w:rPr>
          <w:rFonts w:ascii="Times New Roman" w:hAnsi="Times New Roman"/>
          <w:sz w:val="21"/>
          <w:szCs w:val="21"/>
          <w:lang w:val="en-GB"/>
        </w:rPr>
        <w:t>interest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has been devoted to the sector over the years, compared to other regions of the country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. </w:t>
      </w:r>
      <w:r w:rsidR="000E3B14">
        <w:rPr>
          <w:rFonts w:ascii="Times New Roman" w:hAnsi="Times New Roman"/>
          <w:sz w:val="21"/>
          <w:szCs w:val="21"/>
          <w:lang w:val="en-GB"/>
        </w:rPr>
        <w:t>However</w:t>
      </w:r>
      <w:r w:rsidR="005D04B0">
        <w:rPr>
          <w:rFonts w:ascii="Times New Roman" w:hAnsi="Times New Roman"/>
          <w:sz w:val="21"/>
          <w:szCs w:val="21"/>
          <w:lang w:val="en-GB"/>
        </w:rPr>
        <w:t>, much remains do be done, especially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when considering the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lastRenderedPageBreak/>
        <w:t>centralit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y of </w:t>
      </w:r>
      <w:r w:rsidR="007702D8">
        <w:rPr>
          <w:rFonts w:ascii="Times New Roman" w:hAnsi="Times New Roman"/>
          <w:sz w:val="21"/>
          <w:szCs w:val="21"/>
          <w:lang w:val="en-GB"/>
        </w:rPr>
        <w:t>Lombardy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for East-West and </w:t>
      </w:r>
      <w:r>
        <w:rPr>
          <w:rFonts w:ascii="Times New Roman" w:hAnsi="Times New Roman"/>
          <w:sz w:val="21"/>
          <w:szCs w:val="21"/>
          <w:lang w:val="en-GB"/>
        </w:rPr>
        <w:t>North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-</w:t>
      </w:r>
      <w:r>
        <w:rPr>
          <w:rFonts w:ascii="Times New Roman" w:hAnsi="Times New Roman"/>
          <w:sz w:val="21"/>
          <w:szCs w:val="21"/>
          <w:lang w:val="en-GB"/>
        </w:rPr>
        <w:t>South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 traffic routes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5D04B0">
        <w:rPr>
          <w:rFonts w:ascii="Times New Roman" w:hAnsi="Times New Roman"/>
          <w:sz w:val="21"/>
          <w:szCs w:val="21"/>
          <w:lang w:val="en-GB"/>
        </w:rPr>
        <w:t xml:space="preserve">proven </w:t>
      </w:r>
      <w:r>
        <w:rPr>
          <w:rFonts w:ascii="Times New Roman" w:hAnsi="Times New Roman"/>
          <w:sz w:val="21"/>
          <w:szCs w:val="21"/>
          <w:lang w:val="en-GB"/>
        </w:rPr>
        <w:t xml:space="preserve">for instance by the fact that it is crossed by three of the ten priority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TEN-T </w:t>
      </w:r>
      <w:r>
        <w:rPr>
          <w:rFonts w:ascii="Times New Roman" w:hAnsi="Times New Roman"/>
          <w:sz w:val="21"/>
          <w:szCs w:val="21"/>
          <w:lang w:val="en-GB"/>
        </w:rPr>
        <w:t xml:space="preserve">rail corridors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(</w:t>
      </w:r>
      <w:r>
        <w:rPr>
          <w:rFonts w:ascii="Times New Roman" w:hAnsi="Times New Roman"/>
          <w:sz w:val="21"/>
          <w:szCs w:val="21"/>
          <w:lang w:val="en-GB"/>
        </w:rPr>
        <w:t>the Genoa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-Rotterdam </w:t>
      </w:r>
      <w:r>
        <w:rPr>
          <w:rFonts w:ascii="Times New Roman" w:hAnsi="Times New Roman"/>
          <w:sz w:val="21"/>
          <w:szCs w:val="21"/>
          <w:lang w:val="en-GB"/>
        </w:rPr>
        <w:t>and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 Brenner</w:t>
      </w:r>
      <w:r>
        <w:rPr>
          <w:rFonts w:ascii="Times New Roman" w:hAnsi="Times New Roman"/>
          <w:sz w:val="21"/>
          <w:szCs w:val="21"/>
          <w:lang w:val="en-GB"/>
        </w:rPr>
        <w:t xml:space="preserve"> North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-</w:t>
      </w:r>
      <w:r>
        <w:rPr>
          <w:rFonts w:ascii="Times New Roman" w:hAnsi="Times New Roman"/>
          <w:sz w:val="21"/>
          <w:szCs w:val="21"/>
          <w:lang w:val="en-GB"/>
        </w:rPr>
        <w:t>South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corridors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z w:val="21"/>
          <w:szCs w:val="21"/>
          <w:lang w:val="en-GB"/>
        </w:rPr>
        <w:t>the Lyon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-Torino </w:t>
      </w:r>
      <w:r>
        <w:rPr>
          <w:rFonts w:ascii="Times New Roman" w:hAnsi="Times New Roman"/>
          <w:sz w:val="21"/>
          <w:szCs w:val="21"/>
          <w:lang w:val="en-GB"/>
        </w:rPr>
        <w:t>Venice Mediterranean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East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-</w:t>
      </w:r>
      <w:r>
        <w:rPr>
          <w:rFonts w:ascii="Times New Roman" w:hAnsi="Times New Roman"/>
          <w:sz w:val="21"/>
          <w:szCs w:val="21"/>
          <w:lang w:val="en-GB"/>
        </w:rPr>
        <w:t>West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corridor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). </w:t>
      </w:r>
    </w:p>
    <w:p w:rsidR="00CE725D" w:rsidRPr="006611B0" w:rsidRDefault="005D04B0" w:rsidP="008A16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 xml:space="preserve">Its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privileged position </w:t>
      </w:r>
      <w:r>
        <w:rPr>
          <w:rFonts w:ascii="Times New Roman" w:hAnsi="Times New Roman"/>
          <w:sz w:val="21"/>
          <w:szCs w:val="21"/>
          <w:lang w:val="en-GB"/>
        </w:rPr>
        <w:t xml:space="preserve">with regards to the other </w:t>
      </w:r>
      <w:r w:rsidR="007702D8">
        <w:rPr>
          <w:rFonts w:ascii="Times New Roman" w:hAnsi="Times New Roman"/>
          <w:sz w:val="21"/>
          <w:szCs w:val="21"/>
          <w:lang w:val="en-GB"/>
        </w:rPr>
        <w:t>European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macro regions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 xml:space="preserve">must be leveraged over the </w:t>
      </w:r>
      <w:r w:rsidR="00AE6B2C">
        <w:rPr>
          <w:rFonts w:ascii="Times New Roman" w:hAnsi="Times New Roman"/>
          <w:sz w:val="21"/>
          <w:szCs w:val="21"/>
          <w:lang w:val="en-GB"/>
        </w:rPr>
        <w:t>n</w:t>
      </w:r>
      <w:r>
        <w:rPr>
          <w:rFonts w:ascii="Times New Roman" w:hAnsi="Times New Roman"/>
          <w:sz w:val="21"/>
          <w:szCs w:val="21"/>
          <w:lang w:val="en-GB"/>
        </w:rPr>
        <w:t>e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xt few years, through the implementation of </w:t>
      </w:r>
      <w:r w:rsidR="000E3B14">
        <w:rPr>
          <w:rFonts w:ascii="Times New Roman" w:hAnsi="Times New Roman"/>
          <w:sz w:val="21"/>
          <w:szCs w:val="21"/>
          <w:lang w:val="en-GB"/>
        </w:rPr>
        <w:t>transport policies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geared to allowing a qualitative leap in the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performance </w:t>
      </w:r>
      <w:r w:rsidR="00AE6B2C">
        <w:rPr>
          <w:rFonts w:ascii="Times New Roman" w:hAnsi="Times New Roman"/>
          <w:sz w:val="21"/>
          <w:szCs w:val="21"/>
          <w:lang w:val="en-GB"/>
        </w:rPr>
        <w:t>of the logistics sector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both in terms of the reduction of </w:t>
      </w:r>
      <w:r w:rsidR="002D5CBC">
        <w:rPr>
          <w:rFonts w:ascii="Times New Roman" w:hAnsi="Times New Roman"/>
          <w:sz w:val="21"/>
          <w:szCs w:val="21"/>
          <w:lang w:val="en-GB"/>
        </w:rPr>
        <w:t>operating costs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for </w:t>
      </w:r>
      <w:r w:rsidR="000E3B14">
        <w:rPr>
          <w:rFonts w:ascii="Times New Roman" w:hAnsi="Times New Roman"/>
          <w:sz w:val="21"/>
          <w:szCs w:val="21"/>
          <w:lang w:val="en-GB"/>
        </w:rPr>
        <w:t>enterprises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, and of the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mitiga</w:t>
      </w:r>
      <w:r w:rsidR="00AE6B2C">
        <w:rPr>
          <w:rFonts w:ascii="Times New Roman" w:hAnsi="Times New Roman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ion </w:t>
      </w:r>
      <w:r w:rsidR="0023741A">
        <w:rPr>
          <w:rFonts w:ascii="Times New Roman" w:hAnsi="Times New Roman"/>
          <w:sz w:val="21"/>
          <w:szCs w:val="21"/>
          <w:lang w:val="en-GB"/>
        </w:rPr>
        <w:t xml:space="preserve">of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the </w:t>
      </w:r>
      <w:r w:rsidR="0023741A">
        <w:rPr>
          <w:rFonts w:ascii="Times New Roman" w:hAnsi="Times New Roman"/>
          <w:sz w:val="21"/>
          <w:szCs w:val="21"/>
          <w:lang w:val="en-GB"/>
        </w:rPr>
        <w:t xml:space="preserve">social and environmental effects 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for </w:t>
      </w:r>
      <w:r w:rsidR="0023741A">
        <w:rPr>
          <w:rFonts w:ascii="Times New Roman" w:hAnsi="Times New Roman"/>
          <w:sz w:val="21"/>
          <w:szCs w:val="21"/>
          <w:lang w:val="en-GB"/>
        </w:rPr>
        <w:t xml:space="preserve">the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co</w:t>
      </w:r>
      <w:r w:rsidR="0023741A">
        <w:rPr>
          <w:rFonts w:ascii="Times New Roman" w:hAnsi="Times New Roman"/>
          <w:sz w:val="21"/>
          <w:szCs w:val="21"/>
          <w:lang w:val="en-GB"/>
        </w:rPr>
        <w:t>mmunity at large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. </w:t>
      </w:r>
      <w:r w:rsidR="007702D8">
        <w:rPr>
          <w:rFonts w:ascii="Times New Roman" w:hAnsi="Times New Roman"/>
          <w:sz w:val="21"/>
          <w:szCs w:val="21"/>
          <w:lang w:val="en-GB"/>
        </w:rPr>
        <w:t>Infrastructural planning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sz w:val="21"/>
          <w:szCs w:val="21"/>
          <w:lang w:val="en-GB"/>
        </w:rPr>
        <w:t>in Lombardy will have to strive towards full coordination with cross-border infrastructures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7702D8">
        <w:rPr>
          <w:rFonts w:ascii="Times New Roman" w:hAnsi="Times New Roman"/>
          <w:sz w:val="21"/>
          <w:szCs w:val="21"/>
          <w:lang w:val="en-GB"/>
        </w:rPr>
        <w:t>in the name of both planning compatibility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,</w:t>
      </w:r>
      <w:r w:rsidR="007702D8">
        <w:rPr>
          <w:rFonts w:ascii="Times New Roman" w:hAnsi="Times New Roman"/>
          <w:sz w:val="21"/>
          <w:szCs w:val="21"/>
          <w:lang w:val="en-GB"/>
        </w:rPr>
        <w:t xml:space="preserve"> for instance both through the realisation of works aimed at making the best use of the existing network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7702D8">
        <w:rPr>
          <w:rFonts w:ascii="Times New Roman" w:hAnsi="Times New Roman"/>
          <w:sz w:val="21"/>
          <w:szCs w:val="21"/>
          <w:lang w:val="en-GB"/>
        </w:rPr>
        <w:t xml:space="preserve">and by supporting long-term </w:t>
      </w:r>
      <w:r w:rsidR="000E3B14">
        <w:rPr>
          <w:rFonts w:ascii="Times New Roman" w:hAnsi="Times New Roman"/>
          <w:sz w:val="21"/>
          <w:szCs w:val="21"/>
          <w:lang w:val="en-GB"/>
        </w:rPr>
        <w:t>infrastructur</w:t>
      </w:r>
      <w:r w:rsidR="007702D8">
        <w:rPr>
          <w:rFonts w:ascii="Times New Roman" w:hAnsi="Times New Roman"/>
          <w:sz w:val="21"/>
          <w:szCs w:val="21"/>
          <w:lang w:val="en-GB"/>
        </w:rPr>
        <w:t xml:space="preserve">e building, that advances in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“</w:t>
      </w:r>
      <w:r w:rsidR="007702D8">
        <w:rPr>
          <w:rFonts w:ascii="Times New Roman" w:hAnsi="Times New Roman"/>
          <w:sz w:val="21"/>
          <w:szCs w:val="21"/>
          <w:lang w:val="en-GB"/>
        </w:rPr>
        <w:t>phases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”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sz w:val="21"/>
          <w:szCs w:val="21"/>
          <w:lang w:val="en-GB"/>
        </w:rPr>
        <w:t xml:space="preserve">based on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“priorit</w:t>
      </w:r>
      <w:r w:rsidR="007702D8">
        <w:rPr>
          <w:rFonts w:ascii="Times New Roman" w:hAnsi="Times New Roman"/>
          <w:sz w:val="21"/>
          <w:szCs w:val="21"/>
          <w:lang w:val="en-GB"/>
        </w:rPr>
        <w:t>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” </w:t>
      </w:r>
      <w:r w:rsidR="007702D8">
        <w:rPr>
          <w:rFonts w:ascii="Times New Roman" w:hAnsi="Times New Roman"/>
          <w:sz w:val="21"/>
          <w:szCs w:val="21"/>
          <w:lang w:val="en-GB"/>
        </w:rPr>
        <w:t>within the framework of complex projects</w:t>
      </w:r>
      <w:r w:rsidR="00AE6B2C">
        <w:rPr>
          <w:rFonts w:ascii="Times New Roman" w:hAnsi="Times New Roman"/>
          <w:sz w:val="21"/>
          <w:szCs w:val="21"/>
          <w:lang w:val="en-GB"/>
        </w:rPr>
        <w:t xml:space="preserve">, such as those for the TEN </w:t>
      </w:r>
      <w:r w:rsidR="002D5CBC">
        <w:rPr>
          <w:rFonts w:ascii="Times New Roman" w:hAnsi="Times New Roman"/>
          <w:sz w:val="21"/>
          <w:szCs w:val="21"/>
          <w:lang w:val="en-GB"/>
        </w:rPr>
        <w:t>networks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.</w:t>
      </w:r>
    </w:p>
    <w:p w:rsidR="00CE725D" w:rsidRPr="006611B0" w:rsidRDefault="000E3B14" w:rsidP="008A16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 xml:space="preserve">More in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general</w:t>
      </w:r>
      <w:r>
        <w:rPr>
          <w:rFonts w:ascii="Times New Roman" w:hAnsi="Times New Roman"/>
          <w:sz w:val="21"/>
          <w:szCs w:val="21"/>
          <w:lang w:val="en-GB"/>
        </w:rPr>
        <w:t xml:space="preserve">, all sector </w:t>
      </w:r>
      <w:r w:rsidR="00F11AF3">
        <w:rPr>
          <w:rFonts w:ascii="Times New Roman" w:hAnsi="Times New Roman"/>
          <w:sz w:val="21"/>
          <w:szCs w:val="21"/>
          <w:lang w:val="en-GB"/>
        </w:rPr>
        <w:t>policies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shoul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d</w:t>
      </w:r>
      <w:r>
        <w:rPr>
          <w:rFonts w:ascii="Times New Roman" w:hAnsi="Times New Roman"/>
          <w:sz w:val="21"/>
          <w:szCs w:val="21"/>
          <w:lang w:val="en-GB"/>
        </w:rPr>
        <w:t xml:space="preserve"> be geared to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: </w:t>
      </w:r>
    </w:p>
    <w:p w:rsidR="00CE725D" w:rsidRPr="006611B0" w:rsidRDefault="00CE725D" w:rsidP="008A16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val="en-GB"/>
        </w:rPr>
      </w:pPr>
    </w:p>
    <w:p w:rsidR="00CE725D" w:rsidRPr="006611B0" w:rsidRDefault="005D04B0" w:rsidP="008A16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contextualSpacing w:val="0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 xml:space="preserve">Initiating a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modal</w:t>
      </w:r>
      <w:r w:rsidR="002D5CBC">
        <w:rPr>
          <w:rFonts w:ascii="Times New Roman" w:hAnsi="Times New Roman"/>
          <w:sz w:val="21"/>
          <w:szCs w:val="21"/>
          <w:lang w:val="en-GB"/>
        </w:rPr>
        <w:t xml:space="preserve"> rebalancing process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2D5CBC">
        <w:rPr>
          <w:rFonts w:ascii="Times New Roman" w:hAnsi="Times New Roman"/>
          <w:sz w:val="21"/>
          <w:szCs w:val="21"/>
          <w:lang w:val="en-GB"/>
        </w:rPr>
        <w:t xml:space="preserve">with focus on contexts marred by high congestion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a great variety of goods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 xml:space="preserve">flows, typical of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metropolitan</w:t>
      </w:r>
      <w:r w:rsidR="002D5CBC">
        <w:rPr>
          <w:rFonts w:ascii="Times New Roman" w:hAnsi="Times New Roman"/>
          <w:sz w:val="21"/>
          <w:szCs w:val="21"/>
          <w:lang w:val="en-GB"/>
        </w:rPr>
        <w:t xml:space="preserve"> areas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;</w:t>
      </w:r>
    </w:p>
    <w:p w:rsidR="00CE725D" w:rsidRPr="006611B0" w:rsidRDefault="005D04B0" w:rsidP="008A16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contextualSpacing w:val="0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>Creating economies of scale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7702D8">
        <w:rPr>
          <w:rFonts w:ascii="Times New Roman" w:hAnsi="Times New Roman"/>
          <w:sz w:val="21"/>
          <w:szCs w:val="21"/>
          <w:lang w:val="en-GB"/>
        </w:rPr>
        <w:t>network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 xml:space="preserve">economies in rail services, that are necessary to compete with the European </w:t>
      </w:r>
      <w:r w:rsidR="000E3B14">
        <w:rPr>
          <w:rFonts w:ascii="Times New Roman" w:hAnsi="Times New Roman"/>
          <w:sz w:val="21"/>
          <w:szCs w:val="21"/>
          <w:lang w:val="en-GB"/>
        </w:rPr>
        <w:t>logistics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 xml:space="preserve">regions, also in terms of the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locali</w:t>
      </w:r>
      <w:r>
        <w:rPr>
          <w:rFonts w:ascii="Times New Roman" w:hAnsi="Times New Roman"/>
          <w:sz w:val="21"/>
          <w:szCs w:val="21"/>
          <w:lang w:val="en-GB"/>
        </w:rPr>
        <w:t>sation of high-added-value logistics companies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(</w:t>
      </w:r>
      <w:r>
        <w:rPr>
          <w:rFonts w:ascii="Times New Roman" w:hAnsi="Times New Roman"/>
          <w:sz w:val="21"/>
          <w:szCs w:val="21"/>
          <w:lang w:val="en-GB"/>
        </w:rPr>
        <w:t>large scale distribution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centres, or Southern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 Europ</w:t>
      </w:r>
      <w:r>
        <w:rPr>
          <w:rFonts w:ascii="Times New Roman" w:hAnsi="Times New Roman"/>
          <w:sz w:val="21"/>
          <w:szCs w:val="21"/>
          <w:lang w:val="en-GB"/>
        </w:rPr>
        <w:t>ean</w:t>
      </w:r>
      <w:r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headquarters </w:t>
      </w:r>
      <w:r>
        <w:rPr>
          <w:rFonts w:ascii="Times New Roman" w:hAnsi="Times New Roman"/>
          <w:sz w:val="21"/>
          <w:szCs w:val="21"/>
          <w:lang w:val="en-GB"/>
        </w:rPr>
        <w:t xml:space="preserve">for </w:t>
      </w:r>
      <w:r w:rsidR="000E3B14">
        <w:rPr>
          <w:rFonts w:ascii="Times New Roman" w:hAnsi="Times New Roman"/>
          <w:sz w:val="21"/>
          <w:szCs w:val="21"/>
          <w:lang w:val="en-GB"/>
        </w:rPr>
        <w:t>international</w:t>
      </w:r>
      <w:r w:rsidR="000E3B14" w:rsidRPr="000E3B14"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z w:val="21"/>
          <w:szCs w:val="21"/>
          <w:lang w:val="en-GB"/>
        </w:rPr>
        <w:t>forwarders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)</w:t>
      </w:r>
    </w:p>
    <w:p w:rsidR="00CE725D" w:rsidRPr="006611B0" w:rsidRDefault="00E94486" w:rsidP="008A16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contextualSpacing w:val="0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>Fostering the modernisation of technical means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(</w:t>
      </w:r>
      <w:r w:rsidR="000E3B14" w:rsidRPr="006611B0">
        <w:rPr>
          <w:rFonts w:ascii="Times New Roman" w:hAnsi="Times New Roman"/>
          <w:sz w:val="21"/>
          <w:szCs w:val="21"/>
          <w:lang w:val="en-GB"/>
        </w:rPr>
        <w:t xml:space="preserve">intermodal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terminal</w:t>
      </w:r>
      <w:r w:rsidR="000E3B14">
        <w:rPr>
          <w:rFonts w:ascii="Times New Roman" w:hAnsi="Times New Roman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, locomoti</w:t>
      </w:r>
      <w:r>
        <w:rPr>
          <w:rFonts w:ascii="Times New Roman" w:hAnsi="Times New Roman"/>
          <w:sz w:val="21"/>
          <w:szCs w:val="21"/>
          <w:lang w:val="en-GB"/>
        </w:rPr>
        <w:t>ves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,</w:t>
      </w:r>
      <w:r>
        <w:rPr>
          <w:rFonts w:ascii="Times New Roman" w:hAnsi="Times New Roman"/>
          <w:sz w:val="21"/>
          <w:szCs w:val="21"/>
          <w:lang w:val="en-GB"/>
        </w:rPr>
        <w:t xml:space="preserve"> </w:t>
      </w:r>
      <w:r w:rsidR="005D04B0">
        <w:rPr>
          <w:rFonts w:ascii="Times New Roman" w:hAnsi="Times New Roman"/>
          <w:sz w:val="21"/>
          <w:szCs w:val="21"/>
          <w:lang w:val="en-GB"/>
        </w:rPr>
        <w:t>rail</w:t>
      </w:r>
      <w:r>
        <w:rPr>
          <w:rFonts w:ascii="Times New Roman" w:hAnsi="Times New Roman"/>
          <w:sz w:val="21"/>
          <w:szCs w:val="21"/>
          <w:lang w:val="en-GB"/>
        </w:rPr>
        <w:t xml:space="preserve"> carriages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2D5CBC">
        <w:rPr>
          <w:rFonts w:ascii="Times New Roman" w:hAnsi="Times New Roman"/>
          <w:sz w:val="21"/>
          <w:szCs w:val="21"/>
          <w:lang w:val="en-GB"/>
        </w:rPr>
        <w:t>modal interchange</w:t>
      </w:r>
      <w:r>
        <w:rPr>
          <w:rFonts w:ascii="Times New Roman" w:hAnsi="Times New Roman"/>
          <w:sz w:val="21"/>
          <w:szCs w:val="21"/>
          <w:lang w:val="en-GB"/>
        </w:rPr>
        <w:t xml:space="preserve"> vehicles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) in </w:t>
      </w:r>
      <w:r>
        <w:rPr>
          <w:rFonts w:ascii="Times New Roman" w:hAnsi="Times New Roman"/>
          <w:sz w:val="21"/>
          <w:szCs w:val="21"/>
          <w:lang w:val="en-GB"/>
        </w:rPr>
        <w:t xml:space="preserve">order to cut </w:t>
      </w:r>
      <w:r w:rsidR="002D5CBC">
        <w:rPr>
          <w:rFonts w:ascii="Times New Roman" w:hAnsi="Times New Roman"/>
          <w:sz w:val="21"/>
          <w:szCs w:val="21"/>
          <w:lang w:val="en-GB"/>
        </w:rPr>
        <w:t>operating costs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by imp</w:t>
      </w:r>
      <w:r w:rsidR="00CE22BC">
        <w:rPr>
          <w:rFonts w:ascii="Times New Roman" w:hAnsi="Times New Roman"/>
          <w:sz w:val="21"/>
          <w:szCs w:val="21"/>
          <w:lang w:val="en-GB"/>
        </w:rPr>
        <w:t xml:space="preserve">roving </w:t>
      </w:r>
      <w:r w:rsidR="007702D8">
        <w:rPr>
          <w:rFonts w:ascii="Times New Roman" w:hAnsi="Times New Roman"/>
          <w:sz w:val="21"/>
          <w:szCs w:val="21"/>
          <w:lang w:val="en-GB"/>
        </w:rPr>
        <w:t>efficiency</w:t>
      </w:r>
    </w:p>
    <w:p w:rsidR="00CE725D" w:rsidRPr="006611B0" w:rsidRDefault="000E3B14" w:rsidP="008A16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contextualSpacing w:val="0"/>
        <w:jc w:val="both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 xml:space="preserve">encouraging the involvement of private investors as potential co-financers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(</w:t>
      </w:r>
      <w:r>
        <w:rPr>
          <w:rFonts w:ascii="Times New Roman" w:hAnsi="Times New Roman"/>
          <w:sz w:val="21"/>
          <w:szCs w:val="21"/>
          <w:lang w:val="en-GB"/>
        </w:rPr>
        <w:t>terminal management companies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z w:val="21"/>
          <w:szCs w:val="21"/>
          <w:lang w:val="en-GB"/>
        </w:rPr>
        <w:t>specialised funds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z w:val="21"/>
          <w:szCs w:val="21"/>
          <w:lang w:val="en-GB"/>
        </w:rPr>
        <w:t>pension funds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e</w:t>
      </w:r>
      <w:r>
        <w:rPr>
          <w:rFonts w:ascii="Times New Roman" w:hAnsi="Times New Roman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c.) </w:t>
      </w:r>
      <w:r>
        <w:rPr>
          <w:rFonts w:ascii="Times New Roman" w:hAnsi="Times New Roman"/>
          <w:sz w:val="21"/>
          <w:szCs w:val="21"/>
          <w:lang w:val="en-GB"/>
        </w:rPr>
        <w:t xml:space="preserve">in order to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r</w:t>
      </w:r>
      <w:r>
        <w:rPr>
          <w:rFonts w:ascii="Times New Roman" w:hAnsi="Times New Roman"/>
          <w:sz w:val="21"/>
          <w:szCs w:val="21"/>
          <w:lang w:val="en-GB"/>
        </w:rPr>
        <w:t>educe the financial costs of operations, and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mitiga</w:t>
      </w:r>
      <w:r>
        <w:rPr>
          <w:rFonts w:ascii="Times New Roman" w:hAnsi="Times New Roman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e </w:t>
      </w:r>
      <w:r>
        <w:rPr>
          <w:rFonts w:ascii="Times New Roman" w:hAnsi="Times New Roman"/>
          <w:sz w:val="21"/>
          <w:szCs w:val="21"/>
          <w:lang w:val="en-GB"/>
        </w:rPr>
        <w:t xml:space="preserve">the risk of delays in the construction of strategic works 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>o</w:t>
      </w:r>
      <w:r>
        <w:rPr>
          <w:rFonts w:ascii="Times New Roman" w:hAnsi="Times New Roman"/>
          <w:sz w:val="21"/>
          <w:szCs w:val="21"/>
          <w:lang w:val="en-GB"/>
        </w:rPr>
        <w:t>r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z w:val="21"/>
          <w:szCs w:val="21"/>
          <w:lang w:val="en-GB"/>
        </w:rPr>
        <w:t>of higher tariff burdens in the future for end users</w:t>
      </w:r>
      <w:r w:rsidR="00CE725D" w:rsidRPr="006611B0">
        <w:rPr>
          <w:rFonts w:ascii="Times New Roman" w:hAnsi="Times New Roman"/>
          <w:sz w:val="21"/>
          <w:szCs w:val="21"/>
          <w:lang w:val="en-GB"/>
        </w:rPr>
        <w:t xml:space="preserve">. </w:t>
      </w:r>
    </w:p>
    <w:p w:rsidR="00CE725D" w:rsidRPr="006611B0" w:rsidRDefault="00CE725D" w:rsidP="008A16DE">
      <w:pPr>
        <w:spacing w:after="0" w:line="240" w:lineRule="auto"/>
        <w:jc w:val="both"/>
        <w:rPr>
          <w:rFonts w:ascii="Times New Roman" w:hAnsi="Times New Roman"/>
          <w:b/>
          <w:spacing w:val="-2"/>
          <w:sz w:val="21"/>
          <w:szCs w:val="21"/>
          <w:lang w:val="en-GB"/>
        </w:rPr>
      </w:pPr>
    </w:p>
    <w:p w:rsidR="00B3061C" w:rsidRPr="006611B0" w:rsidRDefault="00B3061C" w:rsidP="008A16DE">
      <w:pPr>
        <w:spacing w:after="0" w:line="240" w:lineRule="auto"/>
        <w:jc w:val="both"/>
        <w:rPr>
          <w:rFonts w:ascii="Times New Roman" w:hAnsi="Times New Roman"/>
          <w:b/>
          <w:spacing w:val="-2"/>
          <w:sz w:val="21"/>
          <w:szCs w:val="21"/>
          <w:lang w:val="en-GB"/>
        </w:rPr>
      </w:pPr>
    </w:p>
    <w:p w:rsidR="00B3061C" w:rsidRPr="006611B0" w:rsidRDefault="00B3061C" w:rsidP="008A16DE">
      <w:pPr>
        <w:spacing w:after="0" w:line="240" w:lineRule="auto"/>
        <w:jc w:val="both"/>
        <w:rPr>
          <w:rFonts w:ascii="Times New Roman" w:hAnsi="Times New Roman"/>
          <w:b/>
          <w:spacing w:val="-2"/>
          <w:sz w:val="21"/>
          <w:szCs w:val="21"/>
          <w:lang w:val="en-GB"/>
        </w:rPr>
      </w:pPr>
    </w:p>
    <w:p w:rsidR="004F31C1" w:rsidRPr="006611B0" w:rsidRDefault="00B3061C" w:rsidP="008A16DE">
      <w:pPr>
        <w:pStyle w:val="Titolo1"/>
        <w:spacing w:before="0" w:line="240" w:lineRule="auto"/>
        <w:jc w:val="right"/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</w:pP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CASE STUDY 2  </w:t>
      </w:r>
    </w:p>
    <w:p w:rsidR="004F31C1" w:rsidRPr="006611B0" w:rsidRDefault="00B3061C" w:rsidP="008A16DE">
      <w:pPr>
        <w:pStyle w:val="Titolo1"/>
        <w:spacing w:before="0" w:line="240" w:lineRule="auto"/>
        <w:jc w:val="right"/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</w:pP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N</w:t>
      </w:r>
      <w:r w:rsidR="000E3B14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EW </w:t>
      </w:r>
      <w:r w:rsidR="00F11AF3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GROWTH STRATEGIES</w:t>
      </w: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FOR </w:t>
      </w:r>
      <w:r w:rsidR="0021420F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SOUTHERN ITALY </w:t>
      </w: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br/>
      </w:r>
      <w:r w:rsidR="000E3B14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IN </w:t>
      </w:r>
      <w:r w:rsidR="00F11AF3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INTER-MEDITERRANEAN RELATIONS</w:t>
      </w: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: </w:t>
      </w: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br/>
      </w:r>
      <w:r w:rsidR="00CE22BC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THE</w:t>
      </w:r>
      <w:r w:rsidR="0021420F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LEVERS OF </w:t>
      </w:r>
      <w:r w:rsidRP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SSS </w:t>
      </w:r>
      <w:r w:rsidR="00CE22BC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AND VALUE</w:t>
      </w:r>
      <w:r w:rsidR="0021420F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-ADDED</w:t>
      </w:r>
      <w:r w:rsidR="00CE22BC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 xml:space="preserve"> </w:t>
      </w:r>
      <w:r w:rsidR="006611B0">
        <w:rPr>
          <w:rFonts w:ascii="Times New Roman" w:hAnsi="Times New Roman"/>
          <w:b w:val="0"/>
          <w:color w:val="000000"/>
          <w:spacing w:val="-2"/>
          <w:sz w:val="21"/>
          <w:szCs w:val="21"/>
          <w:lang w:val="en-GB"/>
        </w:rPr>
        <w:t>LOGISTICS</w:t>
      </w:r>
    </w:p>
    <w:p w:rsidR="004F31C1" w:rsidRPr="006611B0" w:rsidRDefault="004F31C1" w:rsidP="008A16DE">
      <w:pPr>
        <w:spacing w:after="0" w:line="240" w:lineRule="auto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E725D" w:rsidRPr="006611B0" w:rsidRDefault="00CE22B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I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ntermodal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 xml:space="preserve">services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combin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ed maritime services</w:t>
      </w:r>
      <w:r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have distinctive market-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>related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>as well as technical features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 xml:space="preserve">that prompt researchers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to analyse specific factors with the aim of defining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differentiation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 xml:space="preserve">between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23B29">
        <w:rPr>
          <w:rFonts w:ascii="Times New Roman" w:hAnsi="Times New Roman"/>
          <w:spacing w:val="-2"/>
          <w:sz w:val="21"/>
          <w:szCs w:val="21"/>
          <w:lang w:val="en-GB"/>
        </w:rPr>
        <w:t xml:space="preserve"> therefore the segmentation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line of the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intermodal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market as a whole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In the case of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maritime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differentiation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modal interchange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524B76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requires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the existence of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y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stem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infrastructur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a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l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>and operational factors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which go beyond 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 xml:space="preserve">strategic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drive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lastRenderedPageBreak/>
        <w:t xml:space="preserve">industry companies competing in what is essentially and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oligopolistic</w:t>
      </w:r>
      <w:r w:rsidR="00524B76">
        <w:rPr>
          <w:rFonts w:ascii="Times New Roman" w:hAnsi="Times New Roman"/>
          <w:spacing w:val="-2"/>
          <w:sz w:val="21"/>
          <w:szCs w:val="21"/>
          <w:lang w:val="en-GB"/>
        </w:rPr>
        <w:t xml:space="preserve"> market, given the high overheads involved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6611B0" w:rsidRDefault="002D5CB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The 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offer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ed by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s, and the role they play within the international context of global production and distribution networks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, are one of the strategic factors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in allowing specialised navigation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enterprises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to broaden the range of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offer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ed, and to operate as </w:t>
      </w:r>
      <w:r w:rsidR="00CE725D" w:rsidRPr="000E739A">
        <w:rPr>
          <w:rFonts w:ascii="Times New Roman" w:hAnsi="Times New Roman"/>
          <w:spacing w:val="-2"/>
          <w:sz w:val="21"/>
          <w:szCs w:val="21"/>
          <w:lang w:val="en-GB"/>
        </w:rPr>
        <w:t>logistics global player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The localisation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of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logistics activities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in rela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 xml:space="preserve">tion to maritime and port activities, with particular reference to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import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ing and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export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of finished and semi-finished goods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represents a factor of strong attraction for international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traffic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, tied to the </w:t>
      </w:r>
      <w:r w:rsidR="0023741A">
        <w:rPr>
          <w:rFonts w:ascii="Times New Roman" w:hAnsi="Times New Roman"/>
          <w:spacing w:val="-2"/>
          <w:sz w:val="21"/>
          <w:szCs w:val="21"/>
          <w:lang w:val="en-GB"/>
        </w:rPr>
        <w:t>presence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1C54E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the supply of other</w:t>
      </w:r>
      <w:r w:rsidR="001C54EE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value-added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logistics 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within a 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o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r in the immediate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dry port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 xml:space="preserve"> area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in the sense of an appropriately equipped logistics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area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in proximity of the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The effectiveness of these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in representing a competitive advantage for the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port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s that can offer them depends on the structure and operating configuration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of the supply chains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6611B0">
        <w:rPr>
          <w:rFonts w:ascii="Times New Roman" w:hAnsi="Times New Roman"/>
          <w:spacing w:val="-2"/>
          <w:sz w:val="21"/>
          <w:szCs w:val="21"/>
          <w:lang w:val="en-GB"/>
        </w:rPr>
        <w:t>produ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ction-distribution networks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with particular emphasis on the need</w:t>
      </w:r>
      <w:r w:rsidR="00B55B21" w:rsidRP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to import</w:t>
      </w:r>
      <w:r w:rsidR="00B55B21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55B21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e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x</w:t>
      </w:r>
      <w:r w:rsidR="00B55B21" w:rsidRPr="006611B0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 goods,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on the frequent, regular, and predictable presence of such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goods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</w:p>
    <w:p w:rsidR="00CE725D" w:rsidRPr="006611B0" w:rsidRDefault="00527F6E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Among the various potential intermodal</w:t>
      </w:r>
      <w:r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functions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present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 closer look has been given to some aspects of the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combined maritime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in rela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tion to the construction of European</w:t>
      </w:r>
      <w:r w:rsidR="00B55B21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co-modal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tineraries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alternativ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e to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road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, a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lso given the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European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 xml:space="preserve">Union’s recent review of its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TEN-T </w:t>
      </w:r>
      <w:r w:rsidR="00B55B21">
        <w:rPr>
          <w:rFonts w:ascii="Times New Roman" w:hAnsi="Times New Roman"/>
          <w:spacing w:val="-2"/>
          <w:sz w:val="21"/>
          <w:szCs w:val="21"/>
          <w:lang w:val="en-GB"/>
        </w:rPr>
        <w:t>network policy</w:t>
      </w:r>
      <w:r w:rsidR="006D4F9A">
        <w:rPr>
          <w:rFonts w:ascii="Times New Roman" w:hAnsi="Times New Roman"/>
          <w:spacing w:val="-2"/>
          <w:sz w:val="21"/>
          <w:szCs w:val="21"/>
          <w:lang w:val="en-GB"/>
        </w:rPr>
        <w:t>, with the definition of priority corridors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D4F9A">
        <w:rPr>
          <w:rFonts w:ascii="Times New Roman" w:hAnsi="Times New Roman"/>
          <w:spacing w:val="-2"/>
          <w:sz w:val="21"/>
          <w:szCs w:val="21"/>
          <w:lang w:val="en-GB"/>
        </w:rPr>
        <w:t xml:space="preserve">that are part of a </w:t>
      </w:r>
      <w:r w:rsidR="00CE725D" w:rsidRPr="006D4F9A">
        <w:rPr>
          <w:rFonts w:ascii="Times New Roman" w:hAnsi="Times New Roman"/>
          <w:spacing w:val="-2"/>
          <w:sz w:val="21"/>
          <w:szCs w:val="21"/>
          <w:lang w:val="en-GB"/>
        </w:rPr>
        <w:t xml:space="preserve">core network </w:t>
      </w:r>
      <w:r w:rsidR="006D4F9A">
        <w:rPr>
          <w:rFonts w:ascii="Times New Roman" w:hAnsi="Times New Roman"/>
          <w:spacing w:val="-2"/>
          <w:sz w:val="21"/>
          <w:szCs w:val="21"/>
          <w:lang w:val="en-GB"/>
        </w:rPr>
        <w:t xml:space="preserve">within a broader “comprehensive”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network</w:t>
      </w:r>
      <w:r w:rsidR="00CE725D" w:rsidRPr="006611B0">
        <w:rPr>
          <w:rFonts w:ascii="Times New Roman" w:hAnsi="Times New Roman"/>
          <w:i/>
          <w:spacing w:val="-2"/>
          <w:sz w:val="21"/>
          <w:szCs w:val="21"/>
          <w:lang w:val="en-GB"/>
        </w:rPr>
        <w:t xml:space="preserve">.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Within this context, 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intermodal road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-maritim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rail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transport of 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2576F3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R</w:t>
      </w:r>
      <w:r w:rsidR="00CE725D" w:rsidRPr="002576F3">
        <w:rPr>
          <w:rFonts w:ascii="Times New Roman" w:hAnsi="Times New Roman"/>
          <w:spacing w:val="-2"/>
          <w:sz w:val="21"/>
          <w:szCs w:val="21"/>
          <w:lang w:val="en-GB"/>
        </w:rPr>
        <w:t>oll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 w:rsidR="00CE725D" w:rsidRPr="002576F3">
        <w:rPr>
          <w:rFonts w:ascii="Times New Roman" w:hAnsi="Times New Roman"/>
          <w:spacing w:val="-2"/>
          <w:sz w:val="21"/>
          <w:szCs w:val="21"/>
          <w:lang w:val="en-GB"/>
        </w:rPr>
        <w:t>on/Roll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 w:rsidR="00CE725D" w:rsidRPr="002576F3">
        <w:rPr>
          <w:rFonts w:ascii="Times New Roman" w:hAnsi="Times New Roman"/>
          <w:spacing w:val="-2"/>
          <w:sz w:val="21"/>
          <w:szCs w:val="21"/>
          <w:lang w:val="en-GB"/>
        </w:rPr>
        <w:t>off Rail: Ro-Ro-Ra)</w:t>
      </w:r>
      <w:r w:rsidR="002576F3" w:rsidRP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could also be developed and encouraged in Italy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In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our country, the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distin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ction and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segmenta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tion of 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 xml:space="preserve">intermodal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rail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, land, and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maritim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e transport market is more clearly defined at the operating level than it is in terms of government actions and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 policies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on which fronts considerable confusion seems to persist in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consider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ing a homogenous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categor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y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intermodal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road-rail 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 xml:space="preserve">rooted in the planning and public financing of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interport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s, initiated in the 19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90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6611B0" w:rsidRDefault="002D5CBC" w:rsidP="008A16DE">
      <w:pPr>
        <w:spacing w:after="0" w:line="240" w:lineRule="auto"/>
        <w:ind w:firstLine="284"/>
        <w:jc w:val="both"/>
        <w:rPr>
          <w:rFonts w:ascii="Times New Roman" w:hAnsi="Times New Roman"/>
          <w:i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As regards the potential new offer of innovative logistics 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support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o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f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maritime and intermodal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2576F3">
        <w:rPr>
          <w:rFonts w:ascii="Times New Roman" w:hAnsi="Times New Roman"/>
          <w:spacing w:val="-2"/>
          <w:sz w:val="21"/>
          <w:szCs w:val="21"/>
          <w:lang w:val="en-GB"/>
        </w:rPr>
        <w:t>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 xml:space="preserve">a comparative analysis has been carried out of the Italian ports that currently handle </w:t>
      </w:r>
      <w:r w:rsidR="00CE725D" w:rsidRPr="002E370B">
        <w:rPr>
          <w:rFonts w:ascii="Times New Roman" w:hAnsi="Times New Roman"/>
          <w:spacing w:val="-2"/>
          <w:sz w:val="21"/>
          <w:szCs w:val="21"/>
          <w:lang w:val="en-GB"/>
        </w:rPr>
        <w:t xml:space="preserve">Roll on/Roll off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>cargo traffic</w:t>
      </w:r>
      <w:r w:rsidR="002E370B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>on the Motorways of the Sea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 xml:space="preserve">lines, and on other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routes connecting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European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3741A">
        <w:rPr>
          <w:rFonts w:ascii="Times New Roman" w:hAnsi="Times New Roman"/>
          <w:spacing w:val="-2"/>
          <w:sz w:val="21"/>
          <w:szCs w:val="21"/>
          <w:lang w:val="en-GB"/>
        </w:rPr>
        <w:t>Mediterranean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 ports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The aim is to identify, among the Italian ports most capable of attracting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Ro-Ro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traffic,</w:t>
      </w:r>
      <w:r w:rsidR="000E6E8B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those with the best competitive potential to become part of the 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rans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European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corridors</w:t>
      </w:r>
      <w:r w:rsidR="000E6E8B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of the “</w:t>
      </w:r>
      <w:r w:rsidR="00CE725D" w:rsidRPr="000E6E8B">
        <w:rPr>
          <w:rFonts w:ascii="Times New Roman" w:hAnsi="Times New Roman"/>
          <w:spacing w:val="-2"/>
          <w:sz w:val="21"/>
          <w:szCs w:val="21"/>
          <w:lang w:val="en-GB"/>
        </w:rPr>
        <w:t>core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”</w:t>
      </w:r>
      <w:r w:rsidR="00CE725D" w:rsidRP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 network</w:t>
      </w:r>
      <w:r w:rsidR="00CE725D" w:rsidRPr="006611B0">
        <w:rPr>
          <w:rFonts w:ascii="Times New Roman" w:hAnsi="Times New Roman"/>
          <w:i/>
          <w:spacing w:val="-2"/>
          <w:sz w:val="21"/>
          <w:szCs w:val="21"/>
          <w:lang w:val="en-GB"/>
        </w:rPr>
        <w:t xml:space="preserve">. </w:t>
      </w:r>
    </w:p>
    <w:p w:rsidR="00CE725D" w:rsidRPr="006611B0" w:rsidRDefault="002E370B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Some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problem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 with the current organisation of </w:t>
      </w:r>
      <w:r w:rsidR="00CE725D" w:rsidRPr="002E370B">
        <w:rPr>
          <w:rFonts w:ascii="Times New Roman" w:hAnsi="Times New Roman"/>
          <w:spacing w:val="-2"/>
          <w:sz w:val="21"/>
          <w:szCs w:val="21"/>
          <w:lang w:val="en-GB"/>
        </w:rPr>
        <w:t xml:space="preserve">Short Sea Shipping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the national level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have emerged and prompt a number of considerations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: </w:t>
      </w:r>
    </w:p>
    <w:p w:rsidR="00CE725D" w:rsidRPr="006611B0" w:rsidRDefault="00CE725D" w:rsidP="008A16DE">
      <w:pPr>
        <w:spacing w:after="0" w:line="240" w:lineRule="auto"/>
        <w:jc w:val="both"/>
        <w:rPr>
          <w:rFonts w:ascii="Times New Roman" w:hAnsi="Times New Roman"/>
          <w:spacing w:val="-2"/>
          <w:sz w:val="8"/>
          <w:szCs w:val="8"/>
          <w:lang w:val="en-GB"/>
        </w:rPr>
      </w:pPr>
    </w:p>
    <w:p w:rsidR="00CE725D" w:rsidRPr="006611B0" w:rsidRDefault="000E6E8B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Increased use of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trailers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semitrailers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(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“unaccompanied” combined maritime traffic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) </w:t>
      </w:r>
      <w:r w:rsidR="00771ACC">
        <w:rPr>
          <w:rFonts w:ascii="Times New Roman" w:hAnsi="Times New Roman"/>
          <w:spacing w:val="-2"/>
          <w:sz w:val="21"/>
          <w:szCs w:val="21"/>
          <w:lang w:val="en-GB"/>
        </w:rPr>
        <w:t xml:space="preserve">in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Ro-Ro</w:t>
      </w:r>
      <w:r w:rsidR="00771ACC">
        <w:rPr>
          <w:rFonts w:ascii="Times New Roman" w:hAnsi="Times New Roman"/>
          <w:spacing w:val="-2"/>
          <w:sz w:val="21"/>
          <w:szCs w:val="21"/>
          <w:lang w:val="en-GB"/>
        </w:rPr>
        <w:t xml:space="preserve"> traffic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  <w:r w:rsidR="00771ACC">
        <w:rPr>
          <w:rFonts w:ascii="Times New Roman" w:hAnsi="Times New Roman"/>
          <w:spacing w:val="-2"/>
          <w:sz w:val="21"/>
          <w:szCs w:val="21"/>
          <w:lang w:val="en-GB"/>
        </w:rPr>
        <w:t xml:space="preserve"> A solution to the problem has been defined for the reluctance of road hauliers to immobilise their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capital</w:t>
      </w:r>
      <w:r w:rsidR="00771ACC">
        <w:rPr>
          <w:rFonts w:ascii="Times New Roman" w:hAnsi="Times New Roman"/>
          <w:spacing w:val="-2"/>
          <w:sz w:val="21"/>
          <w:szCs w:val="21"/>
          <w:lang w:val="en-GB"/>
        </w:rPr>
        <w:t xml:space="preserve"> for longer trips compared to the full-road alternative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CE725D" w:rsidRPr="006611B0" w:rsidRDefault="00771ACC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Strengthening of the </w:t>
      </w:r>
      <w:r w:rsidR="002E370B">
        <w:rPr>
          <w:rFonts w:ascii="Times New Roman" w:hAnsi="Times New Roman"/>
          <w:spacing w:val="-2"/>
          <w:sz w:val="21"/>
          <w:szCs w:val="21"/>
          <w:lang w:val="en-GB"/>
        </w:rPr>
        <w:t>Motorways of the Sea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of support structures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infrastructures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for combined maritime transport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(Ro-Ro) in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particular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 xml:space="preserve">with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crea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ion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 xml:space="preserve"> of specifically equipped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terminal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s and dry port areas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(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also by redeveloping </w:t>
      </w:r>
      <w:r>
        <w:rPr>
          <w:rFonts w:ascii="Times New Roman" w:hAnsi="Times New Roman"/>
          <w:spacing w:val="-2"/>
          <w:sz w:val="21"/>
          <w:szCs w:val="21"/>
          <w:lang w:val="en-GB"/>
        </w:rPr>
        <w:lastRenderedPageBreak/>
        <w:t>industrial areas in disuse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),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for the establishment of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logistics areas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 xml:space="preserve"> for the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handling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parking of 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trailers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semitrailers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value logistics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productive activities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; </w:t>
      </w:r>
    </w:p>
    <w:p w:rsidR="00CE725D" w:rsidRPr="006611B0" w:rsidRDefault="00771ACC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rea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tion of an integrated backbone national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network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 xml:space="preserve">of maritime and land intermodal nodes, with the aim of attracting large volumes of consolidated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traffic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from the, in order to cut unit cost</w:t>
      </w:r>
      <w:r w:rsidR="00BE50A7">
        <w:rPr>
          <w:rFonts w:ascii="Times New Roman" w:hAnsi="Times New Roman"/>
          <w:spacing w:val="-2"/>
          <w:sz w:val="21"/>
          <w:szCs w:val="21"/>
          <w:lang w:val="en-GB"/>
        </w:rPr>
        <w:t xml:space="preserve">s in general, and tied to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negative</w:t>
      </w:r>
      <w:r w:rsidR="00BE50A7">
        <w:rPr>
          <w:rFonts w:ascii="Times New Roman" w:hAnsi="Times New Roman"/>
          <w:spacing w:val="-2"/>
          <w:sz w:val="21"/>
          <w:szCs w:val="21"/>
          <w:lang w:val="en-GB"/>
        </w:rPr>
        <w:t xml:space="preserve"> externalities in particular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CE725D" w:rsidRPr="006611B0" w:rsidRDefault="00771ACC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onf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i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rma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refinancing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structural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consolidation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“eco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-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bonus”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tariff incentives for combined maritime  transport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CE725D" w:rsidRPr="006611B0" w:rsidRDefault="00771ACC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F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ostering high logistics</w:t>
      </w:r>
      <w:r w:rsidR="0043154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intensity</w:t>
      </w:r>
      <w:r w:rsidR="0043154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“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 xml:space="preserve">territorial supply chain” projects for use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on medium-long distances in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combin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ed maritime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land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transport, and related financial, fiscal, and contribution incentives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(</w:t>
      </w:r>
      <w:r w:rsidR="008F2187">
        <w:rPr>
          <w:rFonts w:ascii="Times New Roman" w:hAnsi="Times New Roman"/>
          <w:spacing w:val="-2"/>
          <w:sz w:val="21"/>
          <w:szCs w:val="21"/>
          <w:lang w:val="en-GB"/>
        </w:rPr>
        <w:t xml:space="preserve">modelled on the EU’s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Marco Polo</w:t>
      </w:r>
      <w:r w:rsidR="008F2187">
        <w:rPr>
          <w:rFonts w:ascii="Times New Roman" w:hAnsi="Times New Roman"/>
          <w:spacing w:val="-2"/>
          <w:sz w:val="21"/>
          <w:szCs w:val="21"/>
          <w:lang w:val="en-GB"/>
        </w:rPr>
        <w:t xml:space="preserve"> programmes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) </w:t>
      </w:r>
      <w:r w:rsidR="008F2187">
        <w:rPr>
          <w:rFonts w:ascii="Times New Roman" w:hAnsi="Times New Roman"/>
          <w:spacing w:val="-2"/>
          <w:sz w:val="21"/>
          <w:szCs w:val="21"/>
          <w:lang w:val="en-GB"/>
        </w:rPr>
        <w:t>with the involvement of private entrepreneurs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;</w:t>
      </w:r>
    </w:p>
    <w:p w:rsidR="00CE725D" w:rsidRPr="006611B0" w:rsidRDefault="008F2187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epara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ion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of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preliminary rolling stock operations upon boarding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in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equipped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dry 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areas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(gateway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)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D0838">
        <w:rPr>
          <w:rFonts w:ascii="Times New Roman" w:hAnsi="Times New Roman"/>
          <w:spacing w:val="-2"/>
          <w:sz w:val="21"/>
          <w:szCs w:val="21"/>
          <w:lang w:val="en-GB"/>
        </w:rPr>
        <w:t xml:space="preserve">facilitated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forwarding </w:t>
      </w:r>
      <w:r w:rsidR="00CD0838">
        <w:rPr>
          <w:rFonts w:ascii="Times New Roman" w:hAnsi="Times New Roman"/>
          <w:spacing w:val="-2"/>
          <w:sz w:val="21"/>
          <w:szCs w:val="21"/>
          <w:lang w:val="en-GB"/>
        </w:rPr>
        <w:t xml:space="preserve">thanks to exclusive handling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via dedicated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infrastructures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11D02">
        <w:rPr>
          <w:rFonts w:ascii="Times New Roman" w:hAnsi="Times New Roman"/>
          <w:spacing w:val="-2"/>
          <w:sz w:val="21"/>
          <w:szCs w:val="21"/>
          <w:lang w:val="en-GB"/>
        </w:rPr>
        <w:t xml:space="preserve">for boarding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for instance the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project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for the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Salerno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, that includes the construction of two tunnels to connect the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with a large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area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obtained from a </w:t>
      </w:r>
      <w:r w:rsidR="00771ACC">
        <w:rPr>
          <w:rFonts w:ascii="Times New Roman" w:hAnsi="Times New Roman"/>
          <w:spacing w:val="-2"/>
          <w:sz w:val="21"/>
          <w:szCs w:val="21"/>
          <w:lang w:val="en-GB"/>
        </w:rPr>
        <w:t>disused quarry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). </w:t>
      </w:r>
    </w:p>
    <w:p w:rsidR="00CE725D" w:rsidRPr="006611B0" w:rsidRDefault="004E0E18" w:rsidP="008A16D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Recourse to </w:t>
      </w:r>
      <w:r w:rsidR="00CE725D" w:rsidRPr="004E0E18">
        <w:rPr>
          <w:rFonts w:ascii="Times New Roman" w:hAnsi="Times New Roman"/>
          <w:spacing w:val="-2"/>
          <w:sz w:val="21"/>
          <w:szCs w:val="21"/>
          <w:lang w:val="en-GB"/>
        </w:rPr>
        <w:t>partnership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>with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privat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>e entities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in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>particular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is increasingly desirable and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necessar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>y in a conte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x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>t such as the present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one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in </w:t>
      </w:r>
      <w:r w:rsidR="00606149">
        <w:rPr>
          <w:rFonts w:ascii="Times New Roman" w:hAnsi="Times New Roman"/>
          <w:spacing w:val="-2"/>
          <w:sz w:val="21"/>
          <w:szCs w:val="21"/>
          <w:lang w:val="en-GB"/>
        </w:rPr>
        <w:t xml:space="preserve">which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the scarcity of funds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in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the absence of structural reforms allowing Port Authorities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to count on greater financial resources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is slowing if not preventing most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strategic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i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nvestments in the </w:t>
      </w:r>
      <w:r w:rsidR="0023741A">
        <w:rPr>
          <w:rFonts w:ascii="Times New Roman" w:hAnsi="Times New Roman"/>
          <w:spacing w:val="-2"/>
          <w:sz w:val="21"/>
          <w:szCs w:val="21"/>
          <w:lang w:val="en-GB"/>
        </w:rPr>
        <w:t>development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 of ports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therefore in the growth of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locale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national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economies of which ports are key nodes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D25DAA">
        <w:rPr>
          <w:rFonts w:ascii="Times New Roman" w:hAnsi="Times New Roman"/>
          <w:spacing w:val="-2"/>
          <w:sz w:val="21"/>
          <w:szCs w:val="21"/>
          <w:lang w:val="en-GB"/>
        </w:rPr>
        <w:t xml:space="preserve">A fundamental driver of </w:t>
      </w:r>
      <w:r w:rsidR="00151970">
        <w:rPr>
          <w:rFonts w:ascii="Times New Roman" w:hAnsi="Times New Roman"/>
          <w:spacing w:val="-2"/>
          <w:sz w:val="21"/>
          <w:szCs w:val="21"/>
          <w:lang w:val="en-GB"/>
        </w:rPr>
        <w:t>European port development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in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other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international</w:t>
      </w:r>
      <w:r w:rsidR="00151970">
        <w:rPr>
          <w:rFonts w:ascii="Times New Roman" w:hAnsi="Times New Roman"/>
          <w:spacing w:val="-2"/>
          <w:sz w:val="21"/>
          <w:szCs w:val="21"/>
          <w:lang w:val="en-GB"/>
        </w:rPr>
        <w:t xml:space="preserve"> contexts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151970">
        <w:rPr>
          <w:rFonts w:ascii="Times New Roman" w:hAnsi="Times New Roman"/>
          <w:spacing w:val="-2"/>
          <w:sz w:val="21"/>
          <w:szCs w:val="21"/>
          <w:lang w:val="en-GB"/>
        </w:rPr>
        <w:t>is the collaboration between the public and private sectors, through the project financing mechanism, which has yielded important results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: </w:t>
      </w:r>
      <w:r w:rsidR="000574EF">
        <w:rPr>
          <w:rFonts w:ascii="Times New Roman" w:hAnsi="Times New Roman"/>
          <w:spacing w:val="-2"/>
          <w:sz w:val="21"/>
          <w:szCs w:val="21"/>
          <w:lang w:val="en-GB"/>
        </w:rPr>
        <w:t>one example is the Antwerp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0574EF">
        <w:rPr>
          <w:rFonts w:ascii="Times New Roman" w:hAnsi="Times New Roman"/>
          <w:spacing w:val="-2"/>
          <w:sz w:val="21"/>
          <w:szCs w:val="21"/>
          <w:lang w:val="en-GB"/>
        </w:rPr>
        <w:t xml:space="preserve">where Italian ship-owners such as </w:t>
      </w:r>
      <w:proofErr w:type="spellStart"/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Grimaldi</w:t>
      </w:r>
      <w:proofErr w:type="spellEnd"/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MSC </w:t>
      </w:r>
      <w:r w:rsidR="000574EF">
        <w:rPr>
          <w:rFonts w:ascii="Times New Roman" w:hAnsi="Times New Roman"/>
          <w:spacing w:val="-2"/>
          <w:sz w:val="21"/>
          <w:szCs w:val="21"/>
          <w:lang w:val="en-GB"/>
        </w:rPr>
        <w:t xml:space="preserve">manage dedicated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terminal</w:t>
      </w:r>
      <w:r w:rsidR="000574EF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6611B0" w:rsidRDefault="00CE725D" w:rsidP="008A16DE">
      <w:pPr>
        <w:spacing w:after="0" w:line="240" w:lineRule="auto"/>
        <w:jc w:val="both"/>
        <w:rPr>
          <w:rFonts w:ascii="Times New Roman" w:hAnsi="Times New Roman"/>
          <w:spacing w:val="-2"/>
          <w:sz w:val="8"/>
          <w:szCs w:val="8"/>
          <w:lang w:val="en-GB"/>
        </w:rPr>
      </w:pPr>
    </w:p>
    <w:p w:rsidR="00CE725D" w:rsidRPr="006611B0" w:rsidRDefault="000574EF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issue of the creation and extension of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dry 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025A5">
        <w:rPr>
          <w:rFonts w:ascii="Times New Roman" w:hAnsi="Times New Roman"/>
          <w:spacing w:val="-2"/>
          <w:sz w:val="21"/>
          <w:szCs w:val="21"/>
          <w:lang w:val="en-GB"/>
        </w:rPr>
        <w:t xml:space="preserve">areas equipped for </w:t>
      </w:r>
      <w:r w:rsidR="000E739A">
        <w:rPr>
          <w:rFonts w:ascii="Times New Roman" w:hAnsi="Times New Roman"/>
          <w:spacing w:val="-2"/>
          <w:sz w:val="21"/>
          <w:szCs w:val="21"/>
          <w:lang w:val="en-GB"/>
        </w:rPr>
        <w:t>logistics activities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>is common to all Italy’s ports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>most of which are built on ancient sites inside urban centres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Room is a fundamental asset both for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handling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>value logistics 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involving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container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and for the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handling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2E6561">
        <w:rPr>
          <w:rFonts w:ascii="Times New Roman" w:hAnsi="Times New Roman"/>
          <w:spacing w:val="-2"/>
          <w:sz w:val="21"/>
          <w:szCs w:val="21"/>
          <w:lang w:val="en-GB"/>
        </w:rPr>
        <w:t>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trailers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3154D">
        <w:rPr>
          <w:rFonts w:ascii="Times New Roman" w:hAnsi="Times New Roman"/>
          <w:spacing w:val="-2"/>
          <w:sz w:val="21"/>
          <w:szCs w:val="21"/>
          <w:lang w:val="en-GB"/>
        </w:rPr>
        <w:t>semitrailers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, which are a feature of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Ro-Ro</w:t>
      </w:r>
      <w:r w:rsidR="002A341E">
        <w:rPr>
          <w:rFonts w:ascii="Times New Roman" w:hAnsi="Times New Roman"/>
          <w:spacing w:val="-2"/>
          <w:sz w:val="21"/>
          <w:szCs w:val="21"/>
          <w:lang w:val="en-GB"/>
        </w:rPr>
        <w:t xml:space="preserve"> traffic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</w:p>
    <w:p w:rsidR="00B3061C" w:rsidRPr="006611B0" w:rsidRDefault="002E6561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Napl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for instance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an </w:t>
      </w:r>
      <w:r w:rsidR="005D1A8A" w:rsidRPr="006611B0">
        <w:rPr>
          <w:rFonts w:ascii="Times New Roman" w:hAnsi="Times New Roman"/>
          <w:spacing w:val="-2"/>
          <w:sz w:val="21"/>
          <w:szCs w:val="21"/>
          <w:lang w:val="en-GB"/>
        </w:rPr>
        <w:t>important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facility for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Ro-Ro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traffic</w:t>
      </w:r>
      <w:r w:rsidR="005D1A8A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holds considerable growth potential, but is unable to expand further due to the limited number of docks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dedicat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ed to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Ro-Ro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services,</w:t>
      </w:r>
      <w:r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but also, and most importantly, to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congestion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of the on-shore areas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which has a negative fallout on the entire road system within and outside the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due to the lack of sufficient equipped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are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as dedicated to the parking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5D04B0">
        <w:rPr>
          <w:rFonts w:ascii="Times New Roman" w:hAnsi="Times New Roman"/>
          <w:spacing w:val="-2"/>
          <w:sz w:val="21"/>
          <w:szCs w:val="21"/>
          <w:lang w:val="en-GB"/>
        </w:rPr>
        <w:t>handling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outflow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, transit, e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c.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rolling stock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What’s more, heavy, light, and tourist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traffic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flows are not functionally separated,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are concentrated in the same areas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This has significant repercussion on the performance and </w:t>
      </w:r>
      <w:r w:rsidR="007702D8">
        <w:rPr>
          <w:rFonts w:ascii="Times New Roman" w:hAnsi="Times New Roman"/>
          <w:spacing w:val="-2"/>
          <w:sz w:val="21"/>
          <w:szCs w:val="21"/>
          <w:lang w:val="en-GB"/>
        </w:rPr>
        <w:t>competitiveness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1C54EE">
        <w:rPr>
          <w:rFonts w:ascii="Times New Roman" w:hAnsi="Times New Roman"/>
          <w:spacing w:val="-2"/>
          <w:sz w:val="21"/>
          <w:szCs w:val="21"/>
          <w:lang w:val="en-GB"/>
        </w:rPr>
        <w:t>port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on the 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qualit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y of the </w:t>
      </w:r>
      <w:r w:rsidR="002D5CBC"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 xml:space="preserve"> offer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ed</w:t>
      </w:r>
      <w:r w:rsidR="00CE725D" w:rsidRPr="006611B0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5D1A8A" w:rsidRPr="006611B0" w:rsidRDefault="005D1A8A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2A341E" w:rsidRDefault="002A341E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2A341E" w:rsidRDefault="002A341E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62CA9" w:rsidRPr="002976CD" w:rsidRDefault="00B3061C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bookmarkStart w:id="1" w:name="_GoBack"/>
      <w:bookmarkEnd w:id="1"/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lastRenderedPageBreak/>
        <w:t xml:space="preserve">CASE STUDY 3  </w:t>
      </w:r>
    </w:p>
    <w:p w:rsidR="00B62CA9" w:rsidRPr="002976CD" w:rsidRDefault="007702D8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COMPETITIVENESS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EFFICIENCY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 xml:space="preserve"> OF THE </w:t>
      </w:r>
      <w:r w:rsidR="0021420F" w:rsidRPr="002976CD">
        <w:rPr>
          <w:rFonts w:ascii="Times New Roman" w:hAnsi="Times New Roman"/>
          <w:spacing w:val="-2"/>
          <w:sz w:val="21"/>
          <w:szCs w:val="21"/>
          <w:lang w:val="en-GB"/>
        </w:rPr>
        <w:t>SUPPLY CHAIN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: 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br/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A SURVEY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F317F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F317F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NODES IN 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>ITAL</w:t>
      </w:r>
      <w:r w:rsidR="00F317FC" w:rsidRPr="002976CD">
        <w:rPr>
          <w:rFonts w:ascii="Times New Roman" w:hAnsi="Times New Roman"/>
          <w:spacing w:val="-2"/>
          <w:sz w:val="21"/>
          <w:szCs w:val="21"/>
          <w:lang w:val="en-GB"/>
        </w:rPr>
        <w:t>Y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</w:p>
    <w:p w:rsidR="00B62CA9" w:rsidRPr="002976CD" w:rsidRDefault="00B62CA9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3061C" w:rsidRPr="002976CD" w:rsidRDefault="00B3061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E725D" w:rsidRPr="002976CD" w:rsidRDefault="002976CD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Moving from the acknowledgement of the overall weakness of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national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logistics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industry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which represents a drag on the </w:t>
      </w:r>
      <w:r w:rsidR="007702D8" w:rsidRPr="002976CD">
        <w:rPr>
          <w:rFonts w:ascii="Times New Roman" w:hAnsi="Times New Roman"/>
          <w:spacing w:val="-2"/>
          <w:sz w:val="21"/>
          <w:szCs w:val="21"/>
          <w:lang w:val="en-GB"/>
        </w:rPr>
        <w:t>competitiveness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Italy as a system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this paper has tackled the different aspects at the core of the problem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 the wake of the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carried out with a selected sample of </w:t>
      </w:r>
      <w:r w:rsidR="00785A0B" w:rsidRPr="002976CD">
        <w:rPr>
          <w:rFonts w:ascii="Times New Roman" w:hAnsi="Times New Roman"/>
          <w:spacing w:val="-2"/>
          <w:sz w:val="21"/>
          <w:szCs w:val="21"/>
          <w:lang w:val="en-GB"/>
        </w:rPr>
        <w:t>forwarders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The main findings of the survey are described below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2976CD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As regards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infrastructures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forwarders believe it would be very useful to complete the rail links connecting the country with the main </w:t>
      </w:r>
      <w:r w:rsidR="007702D8" w:rsidRPr="002976CD">
        <w:rPr>
          <w:rFonts w:ascii="Times New Roman" w:hAnsi="Times New Roman"/>
          <w:spacing w:val="-2"/>
          <w:sz w:val="21"/>
          <w:szCs w:val="21"/>
          <w:lang w:val="en-GB"/>
        </w:rPr>
        <w:t>European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traffic routes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and to ensure effective connections between the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North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South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the country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as well as strengthening local switchover links with over transport modes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with sea shipping at the fore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other 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modes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face several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critic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alities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(in partic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ular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for what concerns </w:t>
      </w:r>
      <w:r w:rsidR="002D5CBC" w:rsidRPr="002976CD">
        <w:rPr>
          <w:rFonts w:ascii="Times New Roman" w:hAnsi="Times New Roman"/>
          <w:spacing w:val="-2"/>
          <w:sz w:val="21"/>
          <w:szCs w:val="21"/>
          <w:lang w:val="en-GB"/>
        </w:rPr>
        <w:t>road transport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, congestion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the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Milan, Bologna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Genoa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nodes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),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which however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–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 addition to being 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in themselves less serious and more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manageable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– 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>are often a widespread issue also abroad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700ABB">
        <w:rPr>
          <w:rFonts w:ascii="Times New Roman" w:hAnsi="Times New Roman"/>
          <w:spacing w:val="-2"/>
          <w:sz w:val="21"/>
          <w:szCs w:val="21"/>
          <w:lang w:val="en-GB"/>
        </w:rPr>
        <w:t xml:space="preserve">The problems most commonly reported lie in the connection of port areas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with the ordinary road system, and the dissatisfactory functioning of </w:t>
      </w:r>
      <w:r w:rsidR="005D04B0" w:rsidRPr="002976CD">
        <w:rPr>
          <w:rFonts w:ascii="Times New Roman" w:hAnsi="Times New Roman"/>
          <w:spacing w:val="-2"/>
          <w:sz w:val="21"/>
          <w:szCs w:val="21"/>
          <w:lang w:val="en-GB"/>
        </w:rPr>
        <w:t>intermodal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switchovers between different forms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>Logistics centres are generally considered as sufficiently satisfactory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although there are issues tied to their excessive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fra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gmentation and </w:t>
      </w:r>
      <w:r w:rsidR="005D04B0" w:rsidRPr="002976CD">
        <w:rPr>
          <w:rFonts w:ascii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on the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territory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ransport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tariffs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, durat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>ion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predictability of timing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operator </w:t>
      </w:r>
      <w:r w:rsidR="007702D8" w:rsidRPr="002976CD">
        <w:rPr>
          <w:rFonts w:ascii="Times New Roman" w:hAnsi="Times New Roman"/>
          <w:spacing w:val="-2"/>
          <w:sz w:val="21"/>
          <w:szCs w:val="21"/>
          <w:lang w:val="en-GB"/>
        </w:rPr>
        <w:t>efficiency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>trustworthiness, are considered sufficiently satisfactory on the whole, with the exception of the rail segment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>Problems on the latter front often make the use of rail freight unappealing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 xml:space="preserve">forcing more intense use of </w:t>
      </w:r>
      <w:r w:rsidR="002D5CBC" w:rsidRPr="002976CD">
        <w:rPr>
          <w:rFonts w:ascii="Times New Roman" w:hAnsi="Times New Roman"/>
          <w:spacing w:val="-2"/>
          <w:sz w:val="21"/>
          <w:szCs w:val="21"/>
          <w:lang w:val="en-GB"/>
        </w:rPr>
        <w:t>road transport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9462C">
        <w:rPr>
          <w:rFonts w:ascii="Times New Roman" w:hAnsi="Times New Roman"/>
          <w:spacing w:val="-2"/>
          <w:sz w:val="21"/>
          <w:szCs w:val="21"/>
          <w:lang w:val="en-GB"/>
        </w:rPr>
        <w:t>than would be desirable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59462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Another problem reported by almost all the respondents pertains to customs procedures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considered as slow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expensive and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diversifi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ed on the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territory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with negative repercussions on the international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competitiveness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 sector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59462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Complaints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albeit not as serious, are also prompted by the organisation of the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chain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shortcomings in the planning of activities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limited recourse to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outsourcing, insufficient integra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tion between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operator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 and excessive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fra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g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menta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ion).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This is penalising compared to experiences abroad, characterised by the </w:t>
      </w:r>
      <w:r w:rsidR="0023741A" w:rsidRPr="002976CD">
        <w:rPr>
          <w:rFonts w:ascii="Times New Roman" w:hAnsi="Times New Roman"/>
          <w:spacing w:val="-2"/>
          <w:sz w:val="21"/>
          <w:szCs w:val="21"/>
          <w:lang w:val="en-GB"/>
        </w:rPr>
        <w:t>presence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large, totally integrated groups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which manage the entire cycle of the </w:t>
      </w:r>
      <w:r w:rsidR="005D04B0" w:rsidRPr="002976CD">
        <w:rPr>
          <w:rFonts w:ascii="Times New Roman" w:hAnsi="Times New Roman"/>
          <w:spacing w:val="-2"/>
          <w:sz w:val="21"/>
          <w:szCs w:val="21"/>
          <w:lang w:val="en-GB"/>
        </w:rPr>
        <w:t>goods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2F58C3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IT endowment of operators, and recourse to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ICT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 are considered sufficiently good on the whole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However, integration </w:t>
      </w:r>
      <w:r w:rsidR="002942E5">
        <w:rPr>
          <w:rFonts w:ascii="Times New Roman" w:hAnsi="Times New Roman"/>
          <w:spacing w:val="-2"/>
          <w:sz w:val="21"/>
          <w:szCs w:val="21"/>
          <w:lang w:val="en-GB"/>
        </w:rPr>
        <w:t xml:space="preserve">among the systems of the different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operator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2942E5">
        <w:rPr>
          <w:rFonts w:ascii="Times New Roman" w:hAnsi="Times New Roman"/>
          <w:spacing w:val="-2"/>
          <w:sz w:val="21"/>
          <w:szCs w:val="21"/>
          <w:lang w:val="en-GB"/>
        </w:rPr>
        <w:t xml:space="preserve"> is considered insufficient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with resulting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negative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consequences on the overall management of the goods cycle,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on the trace</w:t>
      </w:r>
      <w:r w:rsidR="009C18D4">
        <w:rPr>
          <w:rFonts w:ascii="Times New Roman" w:hAnsi="Times New Roman"/>
          <w:spacing w:val="-2"/>
          <w:sz w:val="21"/>
          <w:szCs w:val="21"/>
          <w:lang w:val="en-GB"/>
        </w:rPr>
        <w:t>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bility of shipments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2942E5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also highlighted a number of policy indications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Competence over some falls in the public realm,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concern regulatory aspects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(deregulation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C18D4">
        <w:rPr>
          <w:rFonts w:ascii="Times New Roman" w:hAnsi="Times New Roman"/>
          <w:spacing w:val="-2"/>
          <w:sz w:val="21"/>
          <w:szCs w:val="21"/>
          <w:lang w:val="en-GB"/>
        </w:rPr>
        <w:t>liberalisation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;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simplification of bureaucracy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greater flexibility in the operating management of customs offices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D5CBC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centres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)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economic policy choices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optimal destination of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funds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C18D4">
        <w:rPr>
          <w:rFonts w:ascii="Times New Roman" w:hAnsi="Times New Roman"/>
          <w:spacing w:val="-2"/>
          <w:sz w:val="21"/>
          <w:szCs w:val="21"/>
          <w:lang w:val="en-GB"/>
        </w:rPr>
        <w:t>available for investments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;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system of incentives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). In </w:t>
      </w:r>
      <w:r w:rsidR="001C54EE" w:rsidRPr="002976CD">
        <w:rPr>
          <w:rFonts w:ascii="Times New Roman" w:hAnsi="Times New Roman"/>
          <w:spacing w:val="-2"/>
          <w:sz w:val="21"/>
          <w:szCs w:val="21"/>
          <w:lang w:val="en-GB"/>
        </w:rPr>
        <w:t>other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cases, the potential role of the operators themselves is underlined </w:t>
      </w:r>
      <w:r w:rsidR="00F17E3D">
        <w:rPr>
          <w:rFonts w:ascii="Times New Roman" w:hAnsi="Times New Roman"/>
          <w:spacing w:val="-2"/>
          <w:sz w:val="21"/>
          <w:szCs w:val="21"/>
          <w:lang w:val="en-GB"/>
        </w:rPr>
        <w:t>(possibility of concentratin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g</w:t>
      </w:r>
      <w:r w:rsidR="00F17E3D">
        <w:rPr>
          <w:rFonts w:ascii="Times New Roman" w:hAnsi="Times New Roman"/>
          <w:spacing w:val="-2"/>
          <w:sz w:val="21"/>
          <w:szCs w:val="21"/>
          <w:lang w:val="en-GB"/>
        </w:rPr>
        <w:t xml:space="preserve"> and rationalis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ing </w:t>
      </w:r>
      <w:r w:rsidR="00F17E3D">
        <w:rPr>
          <w:rFonts w:ascii="Times New Roman" w:hAnsi="Times New Roman"/>
          <w:spacing w:val="-2"/>
          <w:sz w:val="21"/>
          <w:szCs w:val="21"/>
          <w:lang w:val="en-GB"/>
        </w:rPr>
        <w:t>the offer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of services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F17E3D">
        <w:rPr>
          <w:rFonts w:ascii="Times New Roman" w:hAnsi="Times New Roman"/>
          <w:spacing w:val="-2"/>
          <w:sz w:val="21"/>
          <w:szCs w:val="21"/>
          <w:lang w:val="en-GB"/>
        </w:rPr>
        <w:t xml:space="preserve">wider recourse to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 w:rsidR="00F17E3D" w:rsidRPr="00F17E3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F17E3D" w:rsidRPr="002976CD">
        <w:rPr>
          <w:rFonts w:ascii="Times New Roman" w:hAnsi="Times New Roman"/>
          <w:spacing w:val="-2"/>
          <w:sz w:val="21"/>
          <w:szCs w:val="21"/>
          <w:lang w:val="en-GB"/>
        </w:rPr>
        <w:t>outsourcing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).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Lastly, issues </w:t>
      </w:r>
      <w:r>
        <w:rPr>
          <w:rFonts w:ascii="Times New Roman" w:hAnsi="Times New Roman"/>
          <w:spacing w:val="-2"/>
          <w:sz w:val="21"/>
          <w:szCs w:val="21"/>
          <w:lang w:val="en-GB"/>
        </w:rPr>
        <w:lastRenderedPageBreak/>
        <w:t xml:space="preserve">were pointed out in relation to which industry organisations could take on an active role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such as the harmonisation of IT systems,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drafting of shared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“</w:t>
      </w:r>
      <w:r w:rsidR="002D5CBC" w:rsidRPr="002976CD">
        <w:rPr>
          <w:rFonts w:ascii="Times New Roman" w:hAnsi="Times New Roman"/>
          <w:spacing w:val="-2"/>
          <w:sz w:val="21"/>
          <w:szCs w:val="21"/>
          <w:lang w:val="en-GB"/>
        </w:rPr>
        <w:t>services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 charters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”). </w:t>
      </w:r>
    </w:p>
    <w:p w:rsidR="00CE725D" w:rsidRPr="002976CD" w:rsidRDefault="003E0056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Despite the fact that some time has gone by since the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issues described above are still open and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se</w:t>
      </w:r>
      <w:r w:rsidR="000347CA">
        <w:rPr>
          <w:rFonts w:ascii="Times New Roman" w:hAnsi="Times New Roman"/>
          <w:spacing w:val="-2"/>
          <w:sz w:val="21"/>
          <w:szCs w:val="21"/>
          <w:lang w:val="en-GB"/>
        </w:rPr>
        <w:t>e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m</w:t>
      </w:r>
      <w:r w:rsidR="000347CA">
        <w:rPr>
          <w:rFonts w:ascii="Times New Roman" w:hAnsi="Times New Roman"/>
          <w:spacing w:val="-2"/>
          <w:sz w:val="21"/>
          <w:szCs w:val="21"/>
          <w:lang w:val="en-GB"/>
        </w:rPr>
        <w:t xml:space="preserve"> to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be of </w:t>
      </w:r>
      <w:r w:rsidR="000347CA">
        <w:rPr>
          <w:rFonts w:ascii="Times New Roman" w:hAnsi="Times New Roman"/>
          <w:spacing w:val="-2"/>
          <w:sz w:val="21"/>
          <w:szCs w:val="21"/>
          <w:lang w:val="en-GB"/>
        </w:rPr>
        <w:t xml:space="preserve">a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stru</w:t>
      </w:r>
      <w:r w:rsidR="002942E5">
        <w:rPr>
          <w:rFonts w:ascii="Times New Roman" w:hAnsi="Times New Roman"/>
          <w:spacing w:val="-2"/>
          <w:sz w:val="21"/>
          <w:szCs w:val="21"/>
          <w:lang w:val="en-GB"/>
        </w:rPr>
        <w:t>ctural nature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. What’s more, those that have been taken on to date, have only been solved in part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One consideration prompted by the full body of interviews with sector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operator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s is the following: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</w:t>
      </w:r>
      <w:r w:rsidR="000347CA">
        <w:rPr>
          <w:rFonts w:ascii="Times New Roman" w:hAnsi="Times New Roman"/>
          <w:spacing w:val="-2"/>
          <w:sz w:val="21"/>
          <w:szCs w:val="21"/>
          <w:lang w:val="en-GB"/>
        </w:rPr>
        <w:t>he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AE6B2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logistics </w:t>
      </w:r>
      <w:r w:rsidR="000347CA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and transport </w:t>
      </w:r>
      <w:r w:rsidR="00AE6B2C" w:rsidRPr="002976CD">
        <w:rPr>
          <w:rFonts w:ascii="Times New Roman" w:hAnsi="Times New Roman"/>
          <w:spacing w:val="-2"/>
          <w:sz w:val="21"/>
          <w:szCs w:val="21"/>
          <w:lang w:val="en-GB"/>
        </w:rPr>
        <w:t>sector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is complex and articulated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which can and must be analysed in detail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focusing separately on each of the different means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their respective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peculiarit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ies and criticalities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overall </w:t>
      </w:r>
      <w:r w:rsidR="007702D8" w:rsidRPr="002976CD">
        <w:rPr>
          <w:rFonts w:ascii="Times New Roman" w:hAnsi="Times New Roman"/>
          <w:spacing w:val="-2"/>
          <w:sz w:val="21"/>
          <w:szCs w:val="21"/>
          <w:lang w:val="en-GB"/>
        </w:rPr>
        <w:t>efficiency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of the system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however, hinges decisively on the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interconne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ctions between the different transport modes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(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i.e. on the ability to develop a truly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intermodal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 system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),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on the </w:t>
      </w:r>
      <w:r w:rsidR="002976CD">
        <w:rPr>
          <w:rFonts w:ascii="Times New Roman" w:hAnsi="Times New Roman"/>
          <w:spacing w:val="-2"/>
          <w:sz w:val="21"/>
          <w:szCs w:val="21"/>
          <w:lang w:val="en-GB"/>
        </w:rPr>
        <w:t>country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’s ability to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consider, p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lan, and manage this system as a 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“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whole unit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”, a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s is the case in the more efficient countries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From this standpoint, 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 xml:space="preserve">this paper shows that Italy </w:t>
      </w:r>
      <w:r w:rsidR="00D44AD0">
        <w:rPr>
          <w:rFonts w:ascii="Times New Roman" w:hAnsi="Times New Roman"/>
          <w:spacing w:val="-2"/>
          <w:sz w:val="21"/>
          <w:szCs w:val="21"/>
          <w:lang w:val="en-GB"/>
        </w:rPr>
        <w:t>still has a lot of ground to cover</w:t>
      </w:r>
      <w:r w:rsidR="00CE725D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E725D" w:rsidRPr="002976CD" w:rsidRDefault="00CE725D" w:rsidP="008A16DE">
      <w:pPr>
        <w:spacing w:after="0" w:line="240" w:lineRule="auto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1192F" w:rsidRPr="002976CD" w:rsidRDefault="00B1192F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CASE STUDY </w:t>
      </w:r>
      <w:r w:rsidR="004F31C1" w:rsidRPr="002976CD">
        <w:rPr>
          <w:rFonts w:ascii="Times New Roman" w:hAnsi="Times New Roman"/>
          <w:spacing w:val="-2"/>
          <w:sz w:val="21"/>
          <w:szCs w:val="21"/>
          <w:lang w:val="en-GB"/>
        </w:rPr>
        <w:t>4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 </w:t>
      </w:r>
    </w:p>
    <w:p w:rsidR="003955C0" w:rsidRDefault="000E3B14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ENTERPRISES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3955C0">
        <w:rPr>
          <w:rFonts w:ascii="Times New Roman" w:hAnsi="Times New Roman"/>
          <w:spacing w:val="-2"/>
          <w:sz w:val="21"/>
          <w:szCs w:val="21"/>
          <w:lang w:val="en-GB"/>
        </w:rPr>
        <w:t xml:space="preserve">AND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 w:rsidR="003955C0" w:rsidRPr="003955C0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3955C0" w:rsidRPr="002976CD">
        <w:rPr>
          <w:rFonts w:ascii="Times New Roman" w:hAnsi="Times New Roman"/>
          <w:spacing w:val="-2"/>
          <w:sz w:val="21"/>
          <w:szCs w:val="21"/>
          <w:lang w:val="en-GB"/>
        </w:rPr>
        <w:t>COMPETITIVENESS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: </w:t>
      </w:r>
      <w:r w:rsidR="00B3061C" w:rsidRPr="002976CD">
        <w:rPr>
          <w:rFonts w:ascii="Times New Roman" w:hAnsi="Times New Roman"/>
          <w:spacing w:val="-2"/>
          <w:sz w:val="21"/>
          <w:szCs w:val="21"/>
          <w:lang w:val="en-GB"/>
        </w:rPr>
        <w:br/>
      </w:r>
      <w:r w:rsidR="003955C0">
        <w:rPr>
          <w:rFonts w:ascii="Times New Roman" w:hAnsi="Times New Roman"/>
          <w:spacing w:val="-2"/>
          <w:sz w:val="21"/>
          <w:szCs w:val="21"/>
          <w:lang w:val="en-GB"/>
        </w:rPr>
        <w:t xml:space="preserve">FINDINGS OF A SAMPLE-BASED 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3955C0"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</w:p>
    <w:p w:rsidR="00B1192F" w:rsidRPr="002976CD" w:rsidRDefault="003955C0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MANUFACTURING SECTOR</w:t>
      </w:r>
    </w:p>
    <w:p w:rsidR="00B1192F" w:rsidRPr="002976CD" w:rsidRDefault="00B1192F" w:rsidP="008A16DE">
      <w:pPr>
        <w:spacing w:after="0" w:line="240" w:lineRule="auto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3061C" w:rsidRPr="002976CD" w:rsidRDefault="00B3061C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4614D1" w:rsidRPr="002976CD" w:rsidRDefault="009128A7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This case study moves from the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carried out by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SRM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with a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panel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of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manufacturing sector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companies on the topic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transport</w:t>
      </w:r>
      <w:r w:rsidR="004614D1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4614D1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6611B0" w:rsidRPr="002976CD">
        <w:rPr>
          <w:rFonts w:ascii="Times New Roman" w:hAnsi="Times New Roman"/>
          <w:spacing w:val="-2"/>
          <w:sz w:val="21"/>
          <w:szCs w:val="21"/>
          <w:lang w:val="en-GB"/>
        </w:rPr>
        <w:t>logistics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4614D1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aimed at analysing two points in particular</w:t>
      </w:r>
      <w:r w:rsidR="004614D1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</w:p>
    <w:p w:rsidR="00B77A65" w:rsidRPr="002976CD" w:rsidRDefault="009128A7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On the one hand</w:t>
      </w:r>
      <w:r w:rsidR="00B77A65" w:rsidRPr="002976CD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the relation between the enterprise and the distribution of its products is analysed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to understand whether distribution is an integral part of the business process, outsourced to third parties, or if a mix of these two options is used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</w:p>
    <w:p w:rsidR="00B1192F" w:rsidRPr="002976CD" w:rsidRDefault="003955C0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>On the other</w:t>
      </w:r>
      <w:r w:rsidR="00B77A65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choice of distribution channel is examined,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 xml:space="preserve"> therefore the type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infrastructures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 xml:space="preserve">used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(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>roads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>rail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E0E18" w:rsidRPr="002976CD">
        <w:rPr>
          <w:rFonts w:ascii="Times New Roman" w:hAnsi="Times New Roman"/>
          <w:spacing w:val="-2"/>
          <w:sz w:val="21"/>
          <w:szCs w:val="21"/>
          <w:lang w:val="en-GB"/>
        </w:rPr>
        <w:t>ports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6E8B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5D04B0" w:rsidRPr="002976CD">
        <w:rPr>
          <w:rFonts w:ascii="Times New Roman" w:hAnsi="Times New Roman"/>
          <w:spacing w:val="-2"/>
          <w:sz w:val="21"/>
          <w:szCs w:val="21"/>
          <w:lang w:val="en-GB"/>
        </w:rPr>
        <w:t>airports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)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 xml:space="preserve">the motivations which prompted the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decision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>, or which, a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lternativ</w:t>
      </w:r>
      <w:r w:rsidR="009128A7">
        <w:rPr>
          <w:rFonts w:ascii="Times New Roman" w:hAnsi="Times New Roman"/>
          <w:spacing w:val="-2"/>
          <w:sz w:val="21"/>
          <w:szCs w:val="21"/>
          <w:lang w:val="en-GB"/>
        </w:rPr>
        <w:t>ely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hindered the use of the other available options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B1192F" w:rsidRPr="002976CD" w:rsidRDefault="00421680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Both these </w:t>
      </w:r>
      <w:r w:rsidR="005D04B0" w:rsidRPr="002976CD">
        <w:rPr>
          <w:rFonts w:ascii="Times New Roman" w:hAnsi="Times New Roman"/>
          <w:spacing w:val="-2"/>
          <w:sz w:val="21"/>
          <w:szCs w:val="21"/>
          <w:lang w:val="en-GB"/>
        </w:rPr>
        <w:t>elements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are analysed mostly in relation to the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geogra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phical location of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enterprises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interviewed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; </w:t>
      </w:r>
      <w:r w:rsidR="00520163">
        <w:rPr>
          <w:rFonts w:ascii="Times New Roman" w:hAnsi="Times New Roman"/>
          <w:spacing w:val="-2"/>
          <w:sz w:val="21"/>
          <w:szCs w:val="21"/>
          <w:lang w:val="en-GB"/>
        </w:rPr>
        <w:t xml:space="preserve">however, to better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r</w:t>
      </w:r>
      <w:r w:rsidR="00520163">
        <w:rPr>
          <w:rFonts w:ascii="Times New Roman" w:hAnsi="Times New Roman"/>
          <w:spacing w:val="-2"/>
          <w:sz w:val="21"/>
          <w:szCs w:val="21"/>
          <w:lang w:val="en-GB"/>
        </w:rPr>
        <w:t>e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present</w:t>
      </w:r>
      <w:r w:rsidR="00520163">
        <w:rPr>
          <w:rFonts w:ascii="Times New Roman" w:hAnsi="Times New Roman"/>
          <w:spacing w:val="-2"/>
          <w:sz w:val="21"/>
          <w:szCs w:val="21"/>
          <w:lang w:val="en-GB"/>
        </w:rPr>
        <w:t xml:space="preserve"> the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situation photographed by the </w:t>
      </w:r>
      <w:r w:rsidR="00F11AF3" w:rsidRPr="002976CD">
        <w:rPr>
          <w:rFonts w:ascii="Times New Roman" w:hAnsi="Times New Roman"/>
          <w:spacing w:val="-2"/>
          <w:sz w:val="21"/>
          <w:szCs w:val="21"/>
          <w:lang w:val="en-GB"/>
        </w:rPr>
        <w:t>survey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two in-depth analyses have also been carried out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which, although referred to the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>sample in its entirety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divide it based on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revenues </w:t>
      </w:r>
      <w:r w:rsidR="000E6E8B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size of the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workforce of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enterprises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>covered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.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>With regards to this latter point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enterprises are considered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small when they have a headcount of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10-49 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workers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medium when they have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50-250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, and large 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 xml:space="preserve">when they employ more than </w:t>
      </w:r>
      <w:r w:rsidR="007E49DB">
        <w:rPr>
          <w:rFonts w:ascii="Times New Roman" w:hAnsi="Times New Roman"/>
          <w:spacing w:val="-2"/>
          <w:sz w:val="21"/>
          <w:szCs w:val="21"/>
          <w:lang w:val="en-GB"/>
        </w:rPr>
        <w:t xml:space="preserve">250 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people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.</w:t>
      </w:r>
    </w:p>
    <w:p w:rsidR="004614D1" w:rsidRPr="002976CD" w:rsidRDefault="00462E24" w:rsidP="004614D1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The sample analysed includes around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2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600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enterprises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, located throughout the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national</w:t>
      </w:r>
      <w:r w:rsidRPr="00462E24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>territory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; in term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s of </w:t>
      </w:r>
      <w:r w:rsidR="000E3B14" w:rsidRPr="002976CD">
        <w:rPr>
          <w:rFonts w:ascii="Times New Roman" w:hAnsi="Times New Roman"/>
          <w:spacing w:val="-2"/>
          <w:sz w:val="21"/>
          <w:szCs w:val="21"/>
          <w:lang w:val="en-GB"/>
        </w:rPr>
        <w:t>sectors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on the other hand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 xml:space="preserve">the main 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economic </w:t>
      </w:r>
      <w:r w:rsidR="00C90DAC" w:rsidRPr="002976CD">
        <w:rPr>
          <w:rFonts w:ascii="Times New Roman" w:hAnsi="Times New Roman"/>
          <w:spacing w:val="-2"/>
          <w:sz w:val="21"/>
          <w:szCs w:val="21"/>
          <w:lang w:val="en-GB"/>
        </w:rPr>
        <w:t>categorie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s</w:t>
      </w:r>
      <w:r w:rsidR="00C90DAC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 xml:space="preserve">covered are producers of metal products, and electric </w:t>
      </w:r>
      <w:r w:rsidR="0021420F" w:rsidRPr="002976CD">
        <w:rPr>
          <w:rFonts w:ascii="Times New Roman" w:hAnsi="Times New Roman"/>
          <w:spacing w:val="-2"/>
          <w:sz w:val="21"/>
          <w:szCs w:val="21"/>
          <w:lang w:val="en-GB"/>
        </w:rPr>
        <w:t>mac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hinery and equipment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accounting for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r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e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spe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c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>tiv</w:t>
      </w:r>
      <w:r w:rsidR="0021420F">
        <w:rPr>
          <w:rFonts w:ascii="Times New Roman" w:hAnsi="Times New Roman"/>
          <w:spacing w:val="-2"/>
          <w:sz w:val="21"/>
          <w:szCs w:val="21"/>
          <w:lang w:val="en-GB"/>
        </w:rPr>
        <w:t>ely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16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.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5% </w:t>
      </w:r>
      <w:r w:rsidR="000E6E8B" w:rsidRPr="002976CD">
        <w:rPr>
          <w:rFonts w:ascii="Times New Roman" w:hAnsi="Times New Roman"/>
          <w:spacing w:val="-2"/>
          <w:sz w:val="21"/>
          <w:szCs w:val="21"/>
          <w:lang w:val="en-GB"/>
        </w:rPr>
        <w:t>and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14% </w:t>
      </w:r>
      <w:r w:rsidR="00C90DAC">
        <w:rPr>
          <w:rFonts w:ascii="Times New Roman" w:hAnsi="Times New Roman"/>
          <w:spacing w:val="-2"/>
          <w:sz w:val="21"/>
          <w:szCs w:val="21"/>
          <w:lang w:val="en-GB"/>
        </w:rPr>
        <w:t>of the</w:t>
      </w:r>
      <w:r w:rsidR="00B1192F"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total.</w:t>
      </w:r>
    </w:p>
    <w:p w:rsidR="00CE725D" w:rsidRPr="002976CD" w:rsidRDefault="0021420F" w:rsidP="008A16DE">
      <w:pPr>
        <w:spacing w:after="0" w:line="240" w:lineRule="auto"/>
        <w:ind w:firstLine="284"/>
        <w:jc w:val="both"/>
        <w:rPr>
          <w:rFonts w:ascii="Times New Roman" w:hAnsi="Times New Roman"/>
          <w:bCs/>
          <w:spacing w:val="-2"/>
          <w:sz w:val="21"/>
          <w:szCs w:val="21"/>
          <w:lang w:val="en-GB"/>
        </w:rPr>
      </w:pP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The interviews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with th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e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companies included in the sample on the business choices for what concerns distribution </w:t>
      </w:r>
      <w:r w:rsidR="006611B0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 w:rsidR="000E6E8B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infrastructures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allow a couple of considerations that sum up the situation quite well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:</w:t>
      </w: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hAnsi="Times New Roman"/>
          <w:bCs/>
          <w:spacing w:val="-2"/>
          <w:sz w:val="8"/>
          <w:szCs w:val="8"/>
          <w:lang w:val="en-GB"/>
        </w:rPr>
      </w:pPr>
    </w:p>
    <w:p w:rsidR="00CE725D" w:rsidRPr="002976CD" w:rsidRDefault="0021420F" w:rsidP="008A16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pacing w:val="-2"/>
          <w:sz w:val="21"/>
          <w:szCs w:val="21"/>
          <w:lang w:val="en-GB"/>
        </w:rPr>
      </w:pP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The </w:t>
      </w:r>
      <w:r w:rsidR="005D04B0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of </w:t>
      </w:r>
      <w:r w:rsidR="005D04B0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goods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is mostly managed internally, to optimise not only </w:t>
      </w:r>
      <w:r w:rsidR="002D5CBC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operating costs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tied to the 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process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, but also the level of service provided to the client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;</w:t>
      </w:r>
    </w:p>
    <w:p w:rsidR="00CE725D" w:rsidRPr="002976CD" w:rsidRDefault="0021420F" w:rsidP="008A16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pacing w:val="-2"/>
          <w:sz w:val="21"/>
          <w:szCs w:val="21"/>
          <w:lang w:val="en-GB"/>
        </w:rPr>
      </w:pP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The main </w:t>
      </w:r>
      <w:r w:rsidR="000E3B14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transport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infrastructure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the </w:t>
      </w:r>
      <w:r w:rsidR="000E3B14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enterprises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use is the road </w:t>
      </w:r>
      <w:r w:rsidR="007702D8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network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. T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his choice is mostly tied to three factors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: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ease of access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hAnsi="Times New Roman"/>
          <w:bCs/>
          <w:spacing w:val="-2"/>
          <w:sz w:val="21"/>
          <w:szCs w:val="21"/>
          <w:lang w:val="en-GB"/>
        </w:rPr>
        <w:t>economic convenience, and the speed at which goods can be delivered by road</w:t>
      </w:r>
      <w:r w:rsidR="00CE725D" w:rsidRPr="002976CD">
        <w:rPr>
          <w:rFonts w:ascii="Times New Roman" w:hAnsi="Times New Roman"/>
          <w:bCs/>
          <w:spacing w:val="-2"/>
          <w:sz w:val="21"/>
          <w:szCs w:val="21"/>
          <w:lang w:val="en-GB"/>
        </w:rPr>
        <w:t>.</w:t>
      </w: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hAnsi="Times New Roman"/>
          <w:bCs/>
          <w:spacing w:val="-2"/>
          <w:sz w:val="8"/>
          <w:szCs w:val="8"/>
          <w:lang w:val="en-GB"/>
        </w:rPr>
      </w:pPr>
    </w:p>
    <w:p w:rsidR="004614D1" w:rsidRPr="002976CD" w:rsidRDefault="004614D1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62F4E" w:rsidRPr="002976CD" w:rsidRDefault="00C62F4E" w:rsidP="008A16DE">
      <w:pPr>
        <w:spacing w:after="0" w:line="240" w:lineRule="auto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3061C" w:rsidRPr="002976CD" w:rsidRDefault="00B3061C" w:rsidP="008A16DE">
      <w:pPr>
        <w:spacing w:after="0" w:line="240" w:lineRule="auto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62F4E" w:rsidRPr="002976CD" w:rsidRDefault="00C62F4E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CASE STUDY </w:t>
      </w:r>
      <w:r w:rsidR="004F31C1" w:rsidRPr="002976CD">
        <w:rPr>
          <w:rFonts w:ascii="Times New Roman" w:hAnsi="Times New Roman"/>
          <w:spacing w:val="-2"/>
          <w:sz w:val="21"/>
          <w:szCs w:val="21"/>
          <w:lang w:val="en-GB"/>
        </w:rPr>
        <w:t>5</w:t>
      </w:r>
      <w:r w:rsidRPr="002976CD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</w:p>
    <w:p w:rsidR="00C62F4E" w:rsidRPr="002976CD" w:rsidRDefault="006611B0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hAnsi="Times New Roman"/>
          <w:sz w:val="21"/>
          <w:szCs w:val="21"/>
          <w:lang w:val="en-GB"/>
        </w:rPr>
        <w:t xml:space="preserve">PROCESS LOGISTICS INNOVATION AND INTEGRATION </w:t>
      </w:r>
      <w:r w:rsidR="0071591F">
        <w:rPr>
          <w:rFonts w:ascii="Times New Roman" w:hAnsi="Times New Roman"/>
          <w:sz w:val="21"/>
          <w:szCs w:val="21"/>
          <w:lang w:val="en-GB"/>
        </w:rPr>
        <w:br/>
      </w:r>
      <w:r w:rsidRPr="002976CD">
        <w:rPr>
          <w:rFonts w:ascii="Times New Roman" w:hAnsi="Times New Roman"/>
          <w:sz w:val="21"/>
          <w:szCs w:val="21"/>
          <w:lang w:val="en-GB"/>
        </w:rPr>
        <w:t>FOR THE EXPORT OF ITALIAN AGRI-FOOD CHAINS</w:t>
      </w:r>
    </w:p>
    <w:p w:rsidR="00B3061C" w:rsidRPr="002976CD" w:rsidRDefault="00B3061C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B3061C" w:rsidRPr="002976CD" w:rsidRDefault="00B3061C" w:rsidP="008A16DE">
      <w:pPr>
        <w:spacing w:after="0" w:line="240" w:lineRule="auto"/>
        <w:jc w:val="right"/>
        <w:rPr>
          <w:rFonts w:ascii="Times New Roman" w:hAnsi="Times New Roman"/>
          <w:spacing w:val="-2"/>
          <w:sz w:val="21"/>
          <w:szCs w:val="21"/>
          <w:lang w:val="en-GB"/>
        </w:rPr>
      </w:pPr>
    </w:p>
    <w:p w:rsidR="00CE725D" w:rsidRPr="002976CD" w:rsidRDefault="006611B0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The importance of 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for agricultural and food products is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even greater than </w:t>
      </w:r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for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other sectors of production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This is because the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proofErr w:type="spellStart"/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-food sector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is, by nature, structured and organised according to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 supply chain model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 feature that clearly distinguishes the entire industry, as confirmed by the analysis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supply-chain approach calls for significantly different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analysis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stud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y paths when focusing on growth possibilities, on the foreign market especially, where Italian </w:t>
      </w:r>
      <w:proofErr w:type="spellStart"/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-food products truly represent an aspirational model, not only tied to simple food consumption, but also and </w:t>
      </w:r>
      <w:r w:rsidR="00931113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especially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to a lifestyle </w:t>
      </w:r>
      <w:r w:rsidR="000E6E8B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to a correct and healthy diet, also in terms of the prevention of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pat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h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ologie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food safety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The Mediterranean diet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scientifica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lly acknowledged worldwide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 guaranteeing a healthy and correct diet, is the most evident example of the quality of 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standout “</w:t>
      </w:r>
      <w:r w:rsidR="00931113" w:rsidRP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Made </w:t>
      </w:r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</w:t>
      </w:r>
      <w:r w:rsidR="00931113" w:rsidRP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n Italy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”</w:t>
      </w:r>
      <w:r w:rsidR="00931113" w:rsidRP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proofErr w:type="spellStart"/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931113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-food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sector products.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Safety in </w:t>
      </w:r>
      <w:proofErr w:type="spellStart"/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-food production has become equally important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i.e. certified assurance that production takes place in respect of the regulatory standards in force, allowing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consum</w:t>
      </w:r>
      <w:r w:rsidR="000347C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ers 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to access safe and healthy food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conomic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 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environmental sustainability is therefore intrinsic to this balance, which must be guaranteed throughout all the phases of the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comple</w:t>
      </w:r>
      <w:r w:rsidR="003649F5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x </w:t>
      </w:r>
      <w:proofErr w:type="spellStart"/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-food farming/growing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produ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ction,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06E31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process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</w:p>
    <w:p w:rsidR="00CE725D" w:rsidRPr="002976CD" w:rsidRDefault="00931113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geographical specialisation of Italian exports, almost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60%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of which are directed to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European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countries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which in the past decades have experienced slowing growth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works against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Italy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Italian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goods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struggle to reach the most dynamic regions of the world economy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such as South and East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Asia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Latin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America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due both to the small size of Italian companies, and to shortcomings on the front of advanced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services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finan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cial services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technological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innovation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e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c.,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that are essential in promoting internationalisation on a vast scale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</w:p>
    <w:p w:rsidR="00CE725D" w:rsidRPr="002976CD" w:rsidRDefault="003649F5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organisational and territorial structure of Italian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enterprises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has gradually strayed from industrial district model, taking on the characteristics of a system rooted in the local community, but increasingly structured as a hierarchical system with new forms of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inter-industrial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relations, more in synch with the “supply chain” approach than the a district-based one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</w:p>
    <w:p w:rsidR="00CE725D" w:rsidRPr="002976CD" w:rsidRDefault="00CE725D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 t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his picture, actions aimed at promoting the functional supply-chain integration by means of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06E31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services 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in turn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organi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sed as full-fledged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="00506E31" w:rsidRP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06E31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supply chains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may be geared to 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establishing </w:t>
      </w:r>
      <w:r w:rsidR="002D5CBC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service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centres for export companies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strategic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infrastructures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lastRenderedPageBreak/>
        <w:t xml:space="preserve">that aid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competitiveness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06E3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sustainable growth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E6E8B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structures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for research and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innovation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as well as the creation of training organisations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initiatives to improve the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qualit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y of human capital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These elements may also contribute to improving the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“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atmosphere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”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of </w:t>
      </w:r>
      <w:proofErr w:type="spellStart"/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food supply chains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2B138B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helping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crea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 an attitude of mutual trust in economic exchanges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</w:t>
      </w:r>
      <w:r w:rsidR="0043154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consolidation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of the rules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codes of conduct,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agreements that regulate relations among supply chain operators,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promote the identity and sense of belonging of economic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operator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 with regards to their </w:t>
      </w:r>
      <w:r w:rsidR="0023741A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territor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ies and supply chains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D06D41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Of these actions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strategic</w:t>
      </w:r>
      <w:r w:rsidR="000347C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and by all means preeminent </w:t>
      </w:r>
      <w:r w:rsidR="000347C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role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may be played by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enterprise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network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nod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347C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both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in the physical sense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(p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latforms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intermodal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transport centres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 poles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e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c.),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and in the intangible sense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(</w:t>
      </w:r>
      <w:r w:rsidR="00CE725D" w:rsidRP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food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hub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technological service centres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web platforms for document management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e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c.), in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which process innovations are realised and applied, that are an increasingly important feature of the implementation on a large scale and of broad geographical scope of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projects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aimed at penetrating foreign markets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</w:p>
    <w:p w:rsidR="00CE725D" w:rsidRPr="002976CD" w:rsidRDefault="000F2AE6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management of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“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supply chain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”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logistics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platforms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i.e. areas dedicated not only to the transit of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goods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in fun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ction of the organisation of their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arriv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al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/destina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but also to activities that add to the value of the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goods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tra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nsported and aid their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xporting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strategically positioned on the </w:t>
      </w:r>
      <w:r w:rsidR="0023741A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territory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6E8B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integrate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with intermodal transport nodes, 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so as to act as specialised </w:t>
      </w:r>
      <w:r w:rsidR="002D5CBC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poles for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export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would facilitate the transformation of Italian </w:t>
      </w:r>
      <w:proofErr w:type="spellStart"/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-food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“dist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ricts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” in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to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“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supply chain systems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” in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areas with a strong vocation for global distribution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strong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concentra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tion of supply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as well as a vocation for production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In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particular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through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appropriate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form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 of support, the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crea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ion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of territorial networks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could be created,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that guarantee an adequate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offer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of advanced </w:t>
      </w:r>
      <w:r w:rsidR="002D5CBC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 services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(</w:t>
      </w:r>
      <w:r w:rsidR="00CE725D" w:rsidRPr="00872B04">
        <w:rPr>
          <w:rFonts w:ascii="Times New Roman" w:eastAsia="Times New Roman" w:hAnsi="Times New Roman"/>
          <w:iCs/>
          <w:spacing w:val="-2"/>
          <w:sz w:val="21"/>
          <w:szCs w:val="21"/>
          <w:lang w:val="en-GB"/>
        </w:rPr>
        <w:t>value chain management</w:t>
      </w:r>
      <w:r w:rsidR="00CE725D" w:rsidRP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ICT, e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c.)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allowing Italian </w:t>
      </w:r>
      <w:proofErr w:type="spellStart"/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-food products greater and improved access to the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international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markets, including non-traditional and emerging markets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Also, the importance emerges of raising the awareness of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sector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2EFE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enterprises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of the </w:t>
      </w:r>
      <w:r w:rsidR="00D408A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advantages tied to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implementing integrated supply-chain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projects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aimed at increasing the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diffusion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of quality certifications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for production, distribution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D408A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and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environmental </w:t>
      </w:r>
      <w:r w:rsidR="00D408A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processes,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and </w:t>
      </w:r>
      <w:r w:rsidR="00D408A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of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tec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h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nologie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 with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smaller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environmental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impa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2EFE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thanks to a more efficient use of energy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.</w:t>
      </w:r>
    </w:p>
    <w:p w:rsidR="00CE725D" w:rsidRPr="002976CD" w:rsidRDefault="000E2EFE" w:rsidP="008A16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21"/>
          <w:szCs w:val="21"/>
          <w:lang w:val="en-GB"/>
        </w:rPr>
      </w:pP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To be extremely brief,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goal is to reconcile small local productions and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semi-industrial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productions with the well-tested marketing and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techniques adopted by large scale retail chains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two are at opposite ends of the </w:t>
      </w:r>
      <w:proofErr w:type="spellStart"/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agri</w:t>
      </w:r>
      <w:proofErr w:type="spellEnd"/>
      <w:r w:rsidR="00CF6239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-food sector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: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on the one hand the traditions of local Italian communities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territories in terms of food and food products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D06D4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and on the other the innovations introduced by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modern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. T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here is almost no point of contact at all between the two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: 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quality production and mass distribution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se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m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incompatibl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Some 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success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stories, as mentioned, were built on the attempt to adapt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organisation of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modern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processes to the pace and dynamics of more traditional and local productions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while at the same time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tra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nsforming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tradi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ional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productions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33B51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to make 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them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compatibl</w:t>
      </w:r>
      <w:r w:rsidR="00F00F32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 with the large-scale retail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format.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For instance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producers are prompted to modernise the packaging of their products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a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dding elements such as bar codes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872B04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trademarks,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quality certifications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trac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eability information, and food safety certifications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therefore carrying out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value-added </w:t>
      </w:r>
      <w:r w:rsidR="00051679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product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activities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that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would probably not be </w:t>
      </w:r>
      <w:r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undertaken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otherwise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The end objective of the supply chain </w:t>
      </w:r>
      <w:r w:rsidR="00051679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must be to fine-tune a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competitive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commercial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lastRenderedPageBreak/>
        <w:t>organisation in the mass distribution market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especially on the foreign markets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Such cases of typical Italian-branded supply chain production </w:t>
      </w:r>
      <w:r w:rsidR="000E3B14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and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5D04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distribution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involving products of controlled excellence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g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uaranteed and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certifi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ed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bas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ed on winning and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innovativ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e </w:t>
      </w:r>
      <w:r w:rsidR="007702D8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projects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for the penetration of foreign markets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, a</w:t>
      </w:r>
      <w:r w:rsidR="000F2AE6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lso thanks to the strong 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support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of an efficient </w:t>
      </w:r>
      <w:r w:rsidR="006611B0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logistics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organisation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, </w:t>
      </w:r>
      <w:r w:rsidR="00A86CAA">
        <w:rPr>
          <w:rFonts w:ascii="Times New Roman" w:eastAsia="Times New Roman" w:hAnsi="Times New Roman"/>
          <w:spacing w:val="-2"/>
          <w:sz w:val="21"/>
          <w:szCs w:val="21"/>
          <w:lang w:val="en-GB"/>
        </w:rPr>
        <w:t>testify to the validity of the approach analysed</w:t>
      </w:r>
      <w:r w:rsidR="00CE725D" w:rsidRPr="002976CD">
        <w:rPr>
          <w:rFonts w:ascii="Times New Roman" w:eastAsia="Times New Roman" w:hAnsi="Times New Roman"/>
          <w:spacing w:val="-2"/>
          <w:sz w:val="21"/>
          <w:szCs w:val="21"/>
          <w:lang w:val="en-GB"/>
        </w:rPr>
        <w:t xml:space="preserve">. </w:t>
      </w:r>
    </w:p>
    <w:p w:rsidR="00BF1CAC" w:rsidRPr="002976CD" w:rsidRDefault="00BF1CAC" w:rsidP="008A16DE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  <w:lang w:val="en-GB"/>
        </w:rPr>
      </w:pPr>
    </w:p>
    <w:sectPr w:rsidR="00BF1CAC" w:rsidRPr="002976CD" w:rsidSect="006469F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numFmt w:val="chicago"/>
      </w:footnotePr>
      <w:pgSz w:w="9639" w:h="13608" w:code="9"/>
      <w:pgMar w:top="1531" w:right="1134" w:bottom="1134" w:left="1134" w:header="851" w:footer="737" w:gutter="0"/>
      <w:pgNumType w:start="1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32" w:rsidRDefault="00F00F32" w:rsidP="00B54770">
      <w:pPr>
        <w:spacing w:after="0" w:line="240" w:lineRule="auto"/>
      </w:pPr>
      <w:r>
        <w:separator/>
      </w:r>
    </w:p>
  </w:endnote>
  <w:endnote w:type="continuationSeparator" w:id="0">
    <w:p w:rsidR="00F00F32" w:rsidRDefault="00F00F32" w:rsidP="00B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Our Bodon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M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LT Std Blac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32" w:rsidRPr="0029092E" w:rsidRDefault="0023234B">
    <w:pPr>
      <w:pStyle w:val="Pidipagina"/>
      <w:rPr>
        <w:rFonts w:ascii="Times New Roman" w:hAnsi="Times New Roman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 w:rsidR="00213925" w:rsidRPr="00213925">
      <w:rPr>
        <w:rFonts w:ascii="Times New Roman" w:hAnsi="Times New Roman"/>
        <w:noProof/>
        <w:sz w:val="18"/>
        <w:szCs w:val="18"/>
      </w:rPr>
      <w:t>162</w:t>
    </w:r>
    <w:r>
      <w:rPr>
        <w:rFonts w:ascii="Times New Roman" w:hAnsi="Times New Roman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32" w:rsidRPr="0029092E" w:rsidRDefault="0023234B">
    <w:pPr>
      <w:pStyle w:val="Pidipagina"/>
      <w:jc w:val="right"/>
      <w:rPr>
        <w:rFonts w:ascii="Times New Roman" w:hAnsi="Times New Roman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 w:rsidR="00213925" w:rsidRPr="00213925">
      <w:rPr>
        <w:rFonts w:ascii="Times New Roman" w:hAnsi="Times New Roman"/>
        <w:noProof/>
        <w:sz w:val="18"/>
        <w:szCs w:val="18"/>
      </w:rPr>
      <w:t>159</w:t>
    </w:r>
    <w:r>
      <w:rPr>
        <w:rFonts w:ascii="Times New Roman" w:hAnsi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32" w:rsidRPr="0029092E" w:rsidRDefault="0023234B" w:rsidP="0029092E">
    <w:pPr>
      <w:pStyle w:val="Pidipagina"/>
      <w:jc w:val="right"/>
      <w:rPr>
        <w:rFonts w:ascii="Times New Roman" w:hAnsi="Times New Roman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 w:rsidR="00213925" w:rsidRPr="00213925">
      <w:rPr>
        <w:rFonts w:ascii="Times New Roman" w:hAnsi="Times New Roman"/>
        <w:noProof/>
        <w:sz w:val="18"/>
        <w:szCs w:val="18"/>
      </w:rPr>
      <w:t>155</w:t>
    </w:r>
    <w:r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32" w:rsidRDefault="00F00F32" w:rsidP="00B54770">
      <w:pPr>
        <w:spacing w:after="0" w:line="240" w:lineRule="auto"/>
      </w:pPr>
    </w:p>
  </w:footnote>
  <w:footnote w:type="continuationSeparator" w:id="0">
    <w:p w:rsidR="00F00F32" w:rsidRDefault="00F00F32" w:rsidP="00B54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32" w:rsidRPr="0029092E" w:rsidRDefault="00CB16C6" w:rsidP="0029092E">
    <w:pPr>
      <w:spacing w:after="0" w:line="240" w:lineRule="auto"/>
      <w:rPr>
        <w:rFonts w:ascii="Times New Roman" w:eastAsia="Times New Roman" w:hAnsi="Times New Roman"/>
        <w:bCs/>
        <w:smallCaps/>
        <w:sz w:val="16"/>
        <w:szCs w:val="16"/>
        <w:lang w:eastAsia="it-IT"/>
      </w:rPr>
    </w:pPr>
    <w:proofErr w:type="spellStart"/>
    <w:r>
      <w:rPr>
        <w:rFonts w:ascii="Times New Roman" w:eastAsia="Times New Roman" w:hAnsi="Times New Roman"/>
        <w:bCs/>
        <w:smallCaps/>
        <w:sz w:val="16"/>
        <w:szCs w:val="16"/>
        <w:lang w:val="en-GB" w:eastAsia="it-IT"/>
      </w:rPr>
      <w:t>i</w:t>
    </w:r>
    <w:r w:rsidRPr="00CB16C6">
      <w:rPr>
        <w:rFonts w:ascii="Times New Roman" w:eastAsia="Times New Roman" w:hAnsi="Times New Roman"/>
        <w:bCs/>
        <w:smallCaps/>
        <w:sz w:val="16"/>
        <w:szCs w:val="16"/>
        <w:lang w:val="en-GB" w:eastAsia="it-IT"/>
      </w:rPr>
      <w:t>talian</w:t>
    </w:r>
    <w:proofErr w:type="spellEnd"/>
    <w:r>
      <w:rPr>
        <w:rFonts w:ascii="Times New Roman" w:eastAsia="Times New Roman" w:hAnsi="Times New Roman"/>
        <w:bCs/>
        <w:smallCaps/>
        <w:sz w:val="16"/>
        <w:szCs w:val="16"/>
        <w:lang w:eastAsia="it-IT"/>
      </w:rPr>
      <w:t xml:space="preserve"> </w:t>
    </w:r>
    <w:r w:rsidRPr="00CB16C6">
      <w:rPr>
        <w:rFonts w:ascii="Times New Roman" w:eastAsia="Times New Roman" w:hAnsi="Times New Roman"/>
        <w:bCs/>
        <w:smallCaps/>
        <w:sz w:val="16"/>
        <w:szCs w:val="16"/>
        <w:lang w:val="en-GB" w:eastAsia="it-IT"/>
      </w:rPr>
      <w:t>logistics</w:t>
    </w:r>
    <w:r>
      <w:rPr>
        <w:rFonts w:ascii="Times New Roman" w:eastAsia="Times New Roman" w:hAnsi="Times New Roman"/>
        <w:bCs/>
        <w:smallCaps/>
        <w:sz w:val="16"/>
        <w:szCs w:val="16"/>
        <w:lang w:eastAsia="it-IT"/>
      </w:rPr>
      <w:t xml:space="preserve"> </w:t>
    </w:r>
    <w:r w:rsidRPr="00CB16C6">
      <w:rPr>
        <w:rFonts w:ascii="Times New Roman" w:eastAsia="Times New Roman" w:hAnsi="Times New Roman"/>
        <w:bCs/>
        <w:smallCaps/>
        <w:sz w:val="16"/>
        <w:szCs w:val="16"/>
        <w:lang w:val="en-GB" w:eastAsia="it-IT"/>
      </w:rPr>
      <w:t>system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6C6" w:rsidRPr="00CB16C6" w:rsidRDefault="00CB16C6" w:rsidP="00CB16C6">
    <w:pPr>
      <w:pStyle w:val="Intestazione"/>
      <w:jc w:val="right"/>
      <w:rPr>
        <w:bCs/>
        <w:smallCaps/>
        <w:sz w:val="16"/>
        <w:szCs w:val="16"/>
        <w:lang w:val="en-GB"/>
      </w:rPr>
    </w:pPr>
    <w:r w:rsidRPr="00CB16C6">
      <w:rPr>
        <w:bCs/>
        <w:smallCaps/>
        <w:sz w:val="16"/>
        <w:szCs w:val="16"/>
        <w:lang w:val="en-GB"/>
      </w:rPr>
      <w:t>case studies</w:t>
    </w:r>
  </w:p>
  <w:p w:rsidR="00F00F32" w:rsidRPr="00CB16C6" w:rsidRDefault="00F00F32" w:rsidP="00CB16C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541"/>
    <w:multiLevelType w:val="hybridMultilevel"/>
    <w:tmpl w:val="48729274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6540D0"/>
    <w:multiLevelType w:val="hybridMultilevel"/>
    <w:tmpl w:val="B2109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43A34"/>
    <w:multiLevelType w:val="hybridMultilevel"/>
    <w:tmpl w:val="1AC8EFA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DE7253"/>
    <w:multiLevelType w:val="hybridMultilevel"/>
    <w:tmpl w:val="314806A4"/>
    <w:lvl w:ilvl="0" w:tplc="FAB24C30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4">
    <w:nsid w:val="232327B3"/>
    <w:multiLevelType w:val="hybridMultilevel"/>
    <w:tmpl w:val="94F6168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73267CB"/>
    <w:multiLevelType w:val="hybridMultilevel"/>
    <w:tmpl w:val="21DA3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A0943"/>
    <w:multiLevelType w:val="hybridMultilevel"/>
    <w:tmpl w:val="DF0EA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142BE7"/>
    <w:multiLevelType w:val="hybridMultilevel"/>
    <w:tmpl w:val="11D43FF2"/>
    <w:lvl w:ilvl="0" w:tplc="04100001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1E47AF"/>
    <w:multiLevelType w:val="hybridMultilevel"/>
    <w:tmpl w:val="9C725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E033B"/>
    <w:multiLevelType w:val="hybridMultilevel"/>
    <w:tmpl w:val="2D06A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69F5"/>
    <w:multiLevelType w:val="hybridMultilevel"/>
    <w:tmpl w:val="A73ACF5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BD17E5C"/>
    <w:multiLevelType w:val="hybridMultilevel"/>
    <w:tmpl w:val="DEB8C94A"/>
    <w:lvl w:ilvl="0" w:tplc="04100001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CA2169"/>
    <w:multiLevelType w:val="hybridMultilevel"/>
    <w:tmpl w:val="E19A553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0175197"/>
    <w:multiLevelType w:val="hybridMultilevel"/>
    <w:tmpl w:val="A9A6C38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36516AC"/>
    <w:multiLevelType w:val="hybridMultilevel"/>
    <w:tmpl w:val="034A9FE6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83D6C9E"/>
    <w:multiLevelType w:val="hybridMultilevel"/>
    <w:tmpl w:val="4052E698"/>
    <w:lvl w:ilvl="0" w:tplc="FAB24C3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584D37FB"/>
    <w:multiLevelType w:val="hybridMultilevel"/>
    <w:tmpl w:val="9AC64E3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ACC7FE6"/>
    <w:multiLevelType w:val="hybridMultilevel"/>
    <w:tmpl w:val="D32E2804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>
    <w:nsid w:val="5BCD1FA4"/>
    <w:multiLevelType w:val="hybridMultilevel"/>
    <w:tmpl w:val="C6647D38"/>
    <w:lvl w:ilvl="0" w:tplc="4300C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0052E"/>
    <w:multiLevelType w:val="hybridMultilevel"/>
    <w:tmpl w:val="BDB08A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3"/>
  </w:num>
  <w:num w:numId="5">
    <w:abstractNumId w:val="9"/>
  </w:num>
  <w:num w:numId="6">
    <w:abstractNumId w:val="19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3"/>
  </w:num>
  <w:num w:numId="13">
    <w:abstractNumId w:val="4"/>
  </w:num>
  <w:num w:numId="14">
    <w:abstractNumId w:val="12"/>
  </w:num>
  <w:num w:numId="15">
    <w:abstractNumId w:val="2"/>
  </w:num>
  <w:num w:numId="16">
    <w:abstractNumId w:val="10"/>
  </w:num>
  <w:num w:numId="17">
    <w:abstractNumId w:val="14"/>
  </w:num>
  <w:num w:numId="18">
    <w:abstractNumId w:val="0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D7"/>
    <w:rsid w:val="000003A7"/>
    <w:rsid w:val="00007B70"/>
    <w:rsid w:val="00011DC9"/>
    <w:rsid w:val="00016C6B"/>
    <w:rsid w:val="000347CA"/>
    <w:rsid w:val="00035399"/>
    <w:rsid w:val="00051679"/>
    <w:rsid w:val="000518FC"/>
    <w:rsid w:val="000574EF"/>
    <w:rsid w:val="00081B0C"/>
    <w:rsid w:val="000824A1"/>
    <w:rsid w:val="00086106"/>
    <w:rsid w:val="000A0686"/>
    <w:rsid w:val="000B3979"/>
    <w:rsid w:val="000B4580"/>
    <w:rsid w:val="000C1555"/>
    <w:rsid w:val="000C3317"/>
    <w:rsid w:val="000C3503"/>
    <w:rsid w:val="000E2EFE"/>
    <w:rsid w:val="000E3B14"/>
    <w:rsid w:val="000E6E8B"/>
    <w:rsid w:val="000E739A"/>
    <w:rsid w:val="000E7AAB"/>
    <w:rsid w:val="000F0BCC"/>
    <w:rsid w:val="000F2AE6"/>
    <w:rsid w:val="000F77B7"/>
    <w:rsid w:val="00106212"/>
    <w:rsid w:val="0010746F"/>
    <w:rsid w:val="0011601E"/>
    <w:rsid w:val="0012733E"/>
    <w:rsid w:val="00133C88"/>
    <w:rsid w:val="00136F6E"/>
    <w:rsid w:val="0014271A"/>
    <w:rsid w:val="00144BEF"/>
    <w:rsid w:val="00151551"/>
    <w:rsid w:val="00151970"/>
    <w:rsid w:val="0015269A"/>
    <w:rsid w:val="00161125"/>
    <w:rsid w:val="00162DDC"/>
    <w:rsid w:val="001637DE"/>
    <w:rsid w:val="00171C23"/>
    <w:rsid w:val="00187702"/>
    <w:rsid w:val="001904AF"/>
    <w:rsid w:val="00194AD7"/>
    <w:rsid w:val="001A3262"/>
    <w:rsid w:val="001B3027"/>
    <w:rsid w:val="001C54EE"/>
    <w:rsid w:val="001D12B0"/>
    <w:rsid w:val="001E1D6A"/>
    <w:rsid w:val="001E42B0"/>
    <w:rsid w:val="002002CD"/>
    <w:rsid w:val="00203FCF"/>
    <w:rsid w:val="00204B43"/>
    <w:rsid w:val="00211B47"/>
    <w:rsid w:val="00213925"/>
    <w:rsid w:val="0021420F"/>
    <w:rsid w:val="00222D93"/>
    <w:rsid w:val="00230D79"/>
    <w:rsid w:val="0023234B"/>
    <w:rsid w:val="0023741A"/>
    <w:rsid w:val="002447FC"/>
    <w:rsid w:val="002502CA"/>
    <w:rsid w:val="002576F3"/>
    <w:rsid w:val="00262459"/>
    <w:rsid w:val="00275620"/>
    <w:rsid w:val="00276F5E"/>
    <w:rsid w:val="002825E2"/>
    <w:rsid w:val="0029092E"/>
    <w:rsid w:val="002942E5"/>
    <w:rsid w:val="002976A3"/>
    <w:rsid w:val="002976CD"/>
    <w:rsid w:val="002A341E"/>
    <w:rsid w:val="002A3D32"/>
    <w:rsid w:val="002B138B"/>
    <w:rsid w:val="002B472C"/>
    <w:rsid w:val="002C2EDF"/>
    <w:rsid w:val="002D5CBC"/>
    <w:rsid w:val="002D7C1B"/>
    <w:rsid w:val="002E370B"/>
    <w:rsid w:val="002E6561"/>
    <w:rsid w:val="002F3E25"/>
    <w:rsid w:val="002F58C3"/>
    <w:rsid w:val="00310C79"/>
    <w:rsid w:val="003202CC"/>
    <w:rsid w:val="00324F2E"/>
    <w:rsid w:val="00334EA6"/>
    <w:rsid w:val="003352DB"/>
    <w:rsid w:val="0034300B"/>
    <w:rsid w:val="00355F38"/>
    <w:rsid w:val="0036050E"/>
    <w:rsid w:val="003649F5"/>
    <w:rsid w:val="003820EB"/>
    <w:rsid w:val="00386BB7"/>
    <w:rsid w:val="003955C0"/>
    <w:rsid w:val="003A2026"/>
    <w:rsid w:val="003A2E65"/>
    <w:rsid w:val="003B0719"/>
    <w:rsid w:val="003B5AB5"/>
    <w:rsid w:val="003B5C2E"/>
    <w:rsid w:val="003C2CA1"/>
    <w:rsid w:val="003C4589"/>
    <w:rsid w:val="003D3297"/>
    <w:rsid w:val="003D7B19"/>
    <w:rsid w:val="003D7CB2"/>
    <w:rsid w:val="003E0056"/>
    <w:rsid w:val="004067F7"/>
    <w:rsid w:val="00407E06"/>
    <w:rsid w:val="00421680"/>
    <w:rsid w:val="0043154D"/>
    <w:rsid w:val="00432492"/>
    <w:rsid w:val="00440476"/>
    <w:rsid w:val="00443192"/>
    <w:rsid w:val="00450DAB"/>
    <w:rsid w:val="004614D1"/>
    <w:rsid w:val="00462E24"/>
    <w:rsid w:val="0046351F"/>
    <w:rsid w:val="004766C0"/>
    <w:rsid w:val="00477B80"/>
    <w:rsid w:val="00484693"/>
    <w:rsid w:val="00486652"/>
    <w:rsid w:val="004A1012"/>
    <w:rsid w:val="004A7369"/>
    <w:rsid w:val="004B286F"/>
    <w:rsid w:val="004B6151"/>
    <w:rsid w:val="004C7DC2"/>
    <w:rsid w:val="004E0E18"/>
    <w:rsid w:val="004F1EA9"/>
    <w:rsid w:val="004F2F7D"/>
    <w:rsid w:val="004F31C1"/>
    <w:rsid w:val="004F3F00"/>
    <w:rsid w:val="005025A5"/>
    <w:rsid w:val="00506AD9"/>
    <w:rsid w:val="00506E31"/>
    <w:rsid w:val="005113D1"/>
    <w:rsid w:val="00517A8F"/>
    <w:rsid w:val="00520163"/>
    <w:rsid w:val="00524991"/>
    <w:rsid w:val="00524B76"/>
    <w:rsid w:val="00525D7F"/>
    <w:rsid w:val="00527F6E"/>
    <w:rsid w:val="00543E15"/>
    <w:rsid w:val="005728FD"/>
    <w:rsid w:val="0057323F"/>
    <w:rsid w:val="00575AA2"/>
    <w:rsid w:val="00577800"/>
    <w:rsid w:val="00584B33"/>
    <w:rsid w:val="00590536"/>
    <w:rsid w:val="00592B55"/>
    <w:rsid w:val="0059462C"/>
    <w:rsid w:val="005A3FC6"/>
    <w:rsid w:val="005A6A43"/>
    <w:rsid w:val="005A73E5"/>
    <w:rsid w:val="005C79EC"/>
    <w:rsid w:val="005D04B0"/>
    <w:rsid w:val="005D1A8A"/>
    <w:rsid w:val="005E2D38"/>
    <w:rsid w:val="005F1962"/>
    <w:rsid w:val="005F1D26"/>
    <w:rsid w:val="005F5258"/>
    <w:rsid w:val="0060213E"/>
    <w:rsid w:val="00606149"/>
    <w:rsid w:val="006065E5"/>
    <w:rsid w:val="00610AE5"/>
    <w:rsid w:val="006273FB"/>
    <w:rsid w:val="00627E8C"/>
    <w:rsid w:val="00630709"/>
    <w:rsid w:val="00635F6F"/>
    <w:rsid w:val="006469F5"/>
    <w:rsid w:val="00654092"/>
    <w:rsid w:val="00656CE1"/>
    <w:rsid w:val="006611B0"/>
    <w:rsid w:val="00667668"/>
    <w:rsid w:val="00672902"/>
    <w:rsid w:val="006927BB"/>
    <w:rsid w:val="00695C70"/>
    <w:rsid w:val="006B1058"/>
    <w:rsid w:val="006C164D"/>
    <w:rsid w:val="006D4F9A"/>
    <w:rsid w:val="006E2990"/>
    <w:rsid w:val="006E2D9D"/>
    <w:rsid w:val="006E6A00"/>
    <w:rsid w:val="006F367E"/>
    <w:rsid w:val="006F5D37"/>
    <w:rsid w:val="00700ABB"/>
    <w:rsid w:val="007146A2"/>
    <w:rsid w:val="0071591F"/>
    <w:rsid w:val="0072428F"/>
    <w:rsid w:val="00732B25"/>
    <w:rsid w:val="00735821"/>
    <w:rsid w:val="00744B69"/>
    <w:rsid w:val="00752126"/>
    <w:rsid w:val="0075344A"/>
    <w:rsid w:val="00753A59"/>
    <w:rsid w:val="007636A3"/>
    <w:rsid w:val="007702D8"/>
    <w:rsid w:val="00771022"/>
    <w:rsid w:val="00771ACC"/>
    <w:rsid w:val="0077295D"/>
    <w:rsid w:val="007740E0"/>
    <w:rsid w:val="00776060"/>
    <w:rsid w:val="00785A0B"/>
    <w:rsid w:val="007917CC"/>
    <w:rsid w:val="0079227D"/>
    <w:rsid w:val="00794240"/>
    <w:rsid w:val="0079766D"/>
    <w:rsid w:val="007B2982"/>
    <w:rsid w:val="007D5B6B"/>
    <w:rsid w:val="007E1248"/>
    <w:rsid w:val="007E49DB"/>
    <w:rsid w:val="007E5AC7"/>
    <w:rsid w:val="00800468"/>
    <w:rsid w:val="0080757E"/>
    <w:rsid w:val="00826256"/>
    <w:rsid w:val="00833B51"/>
    <w:rsid w:val="00843153"/>
    <w:rsid w:val="008473AB"/>
    <w:rsid w:val="008540BE"/>
    <w:rsid w:val="0085521A"/>
    <w:rsid w:val="008645AE"/>
    <w:rsid w:val="00872B04"/>
    <w:rsid w:val="0087523B"/>
    <w:rsid w:val="00882D78"/>
    <w:rsid w:val="00897075"/>
    <w:rsid w:val="0089718A"/>
    <w:rsid w:val="008A09FF"/>
    <w:rsid w:val="008A16DE"/>
    <w:rsid w:val="008B43B4"/>
    <w:rsid w:val="008B7D42"/>
    <w:rsid w:val="008C188F"/>
    <w:rsid w:val="008C2FA0"/>
    <w:rsid w:val="008C61A9"/>
    <w:rsid w:val="008D5DA6"/>
    <w:rsid w:val="008E0A7F"/>
    <w:rsid w:val="008E34AA"/>
    <w:rsid w:val="008F1D11"/>
    <w:rsid w:val="008F2187"/>
    <w:rsid w:val="008F510A"/>
    <w:rsid w:val="00911D02"/>
    <w:rsid w:val="009128A7"/>
    <w:rsid w:val="00920B8E"/>
    <w:rsid w:val="00931113"/>
    <w:rsid w:val="00937BA0"/>
    <w:rsid w:val="00937D01"/>
    <w:rsid w:val="00942E25"/>
    <w:rsid w:val="0094462B"/>
    <w:rsid w:val="0094785F"/>
    <w:rsid w:val="009536FD"/>
    <w:rsid w:val="009549CF"/>
    <w:rsid w:val="00957F87"/>
    <w:rsid w:val="00971712"/>
    <w:rsid w:val="00973EB2"/>
    <w:rsid w:val="00986754"/>
    <w:rsid w:val="0099212D"/>
    <w:rsid w:val="009A106D"/>
    <w:rsid w:val="009B7A1F"/>
    <w:rsid w:val="009C18D4"/>
    <w:rsid w:val="009D324F"/>
    <w:rsid w:val="009D6E9A"/>
    <w:rsid w:val="009E1639"/>
    <w:rsid w:val="009E2837"/>
    <w:rsid w:val="009E38A5"/>
    <w:rsid w:val="009E405B"/>
    <w:rsid w:val="009E6150"/>
    <w:rsid w:val="00A02894"/>
    <w:rsid w:val="00A16858"/>
    <w:rsid w:val="00A2039D"/>
    <w:rsid w:val="00A24C4A"/>
    <w:rsid w:val="00A300BC"/>
    <w:rsid w:val="00A36769"/>
    <w:rsid w:val="00A50AA5"/>
    <w:rsid w:val="00A562A0"/>
    <w:rsid w:val="00A638A6"/>
    <w:rsid w:val="00A836E3"/>
    <w:rsid w:val="00A86CAA"/>
    <w:rsid w:val="00A904C3"/>
    <w:rsid w:val="00A91212"/>
    <w:rsid w:val="00A95919"/>
    <w:rsid w:val="00AA234D"/>
    <w:rsid w:val="00AB6F3C"/>
    <w:rsid w:val="00AC2548"/>
    <w:rsid w:val="00AD2B7F"/>
    <w:rsid w:val="00AE2625"/>
    <w:rsid w:val="00AE6B2C"/>
    <w:rsid w:val="00AF1404"/>
    <w:rsid w:val="00AF24AD"/>
    <w:rsid w:val="00B023E3"/>
    <w:rsid w:val="00B0243D"/>
    <w:rsid w:val="00B1192F"/>
    <w:rsid w:val="00B14C92"/>
    <w:rsid w:val="00B23B29"/>
    <w:rsid w:val="00B2431A"/>
    <w:rsid w:val="00B3061C"/>
    <w:rsid w:val="00B30A70"/>
    <w:rsid w:val="00B34FE3"/>
    <w:rsid w:val="00B45E43"/>
    <w:rsid w:val="00B47699"/>
    <w:rsid w:val="00B515C0"/>
    <w:rsid w:val="00B54770"/>
    <w:rsid w:val="00B55B21"/>
    <w:rsid w:val="00B602FE"/>
    <w:rsid w:val="00B62CA9"/>
    <w:rsid w:val="00B63895"/>
    <w:rsid w:val="00B66E6F"/>
    <w:rsid w:val="00B75B03"/>
    <w:rsid w:val="00B77A65"/>
    <w:rsid w:val="00B92F7A"/>
    <w:rsid w:val="00B94ED1"/>
    <w:rsid w:val="00BA4A94"/>
    <w:rsid w:val="00BB370A"/>
    <w:rsid w:val="00BB7846"/>
    <w:rsid w:val="00BD02A6"/>
    <w:rsid w:val="00BD068F"/>
    <w:rsid w:val="00BE324D"/>
    <w:rsid w:val="00BE50A7"/>
    <w:rsid w:val="00BF1CAC"/>
    <w:rsid w:val="00C002B2"/>
    <w:rsid w:val="00C05AF1"/>
    <w:rsid w:val="00C1083F"/>
    <w:rsid w:val="00C11055"/>
    <w:rsid w:val="00C11177"/>
    <w:rsid w:val="00C15E62"/>
    <w:rsid w:val="00C36153"/>
    <w:rsid w:val="00C37DAB"/>
    <w:rsid w:val="00C44DA5"/>
    <w:rsid w:val="00C46649"/>
    <w:rsid w:val="00C52B80"/>
    <w:rsid w:val="00C6040C"/>
    <w:rsid w:val="00C62F4E"/>
    <w:rsid w:val="00C90DAC"/>
    <w:rsid w:val="00CB16C6"/>
    <w:rsid w:val="00CC105F"/>
    <w:rsid w:val="00CC35A3"/>
    <w:rsid w:val="00CD0838"/>
    <w:rsid w:val="00CD7828"/>
    <w:rsid w:val="00CE19A5"/>
    <w:rsid w:val="00CE22BC"/>
    <w:rsid w:val="00CE324A"/>
    <w:rsid w:val="00CE42CB"/>
    <w:rsid w:val="00CE725D"/>
    <w:rsid w:val="00CF4035"/>
    <w:rsid w:val="00CF6239"/>
    <w:rsid w:val="00D01545"/>
    <w:rsid w:val="00D028F9"/>
    <w:rsid w:val="00D047AC"/>
    <w:rsid w:val="00D05F39"/>
    <w:rsid w:val="00D06D41"/>
    <w:rsid w:val="00D215E9"/>
    <w:rsid w:val="00D221FB"/>
    <w:rsid w:val="00D25DAA"/>
    <w:rsid w:val="00D408AE"/>
    <w:rsid w:val="00D42D7C"/>
    <w:rsid w:val="00D44AD0"/>
    <w:rsid w:val="00D50547"/>
    <w:rsid w:val="00D50A1B"/>
    <w:rsid w:val="00D55357"/>
    <w:rsid w:val="00D65A4B"/>
    <w:rsid w:val="00D7071E"/>
    <w:rsid w:val="00D767F0"/>
    <w:rsid w:val="00D76C54"/>
    <w:rsid w:val="00D8173C"/>
    <w:rsid w:val="00D85745"/>
    <w:rsid w:val="00D85D2A"/>
    <w:rsid w:val="00D95B93"/>
    <w:rsid w:val="00DA1E3A"/>
    <w:rsid w:val="00DB2E39"/>
    <w:rsid w:val="00DC09F0"/>
    <w:rsid w:val="00DC4BA8"/>
    <w:rsid w:val="00DD57AF"/>
    <w:rsid w:val="00E1488B"/>
    <w:rsid w:val="00E17EF9"/>
    <w:rsid w:val="00E24759"/>
    <w:rsid w:val="00E27B11"/>
    <w:rsid w:val="00E43A5E"/>
    <w:rsid w:val="00E60643"/>
    <w:rsid w:val="00E61C78"/>
    <w:rsid w:val="00E82C85"/>
    <w:rsid w:val="00E94486"/>
    <w:rsid w:val="00E95BAF"/>
    <w:rsid w:val="00EA2C57"/>
    <w:rsid w:val="00EA6A85"/>
    <w:rsid w:val="00EB00D4"/>
    <w:rsid w:val="00EB2355"/>
    <w:rsid w:val="00EC0CFA"/>
    <w:rsid w:val="00EC36F9"/>
    <w:rsid w:val="00F00F32"/>
    <w:rsid w:val="00F06872"/>
    <w:rsid w:val="00F11AF3"/>
    <w:rsid w:val="00F17E3D"/>
    <w:rsid w:val="00F240FE"/>
    <w:rsid w:val="00F24830"/>
    <w:rsid w:val="00F317FC"/>
    <w:rsid w:val="00F40641"/>
    <w:rsid w:val="00F52378"/>
    <w:rsid w:val="00F65FD7"/>
    <w:rsid w:val="00F66496"/>
    <w:rsid w:val="00FA0DA9"/>
    <w:rsid w:val="00FA2F2F"/>
    <w:rsid w:val="00FA6DAC"/>
    <w:rsid w:val="00FA7B2E"/>
    <w:rsid w:val="00FC0338"/>
    <w:rsid w:val="00FE4FED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C62F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2A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2002CD"/>
    <w:pPr>
      <w:spacing w:line="240" w:lineRule="auto"/>
    </w:pPr>
    <w:rPr>
      <w:b/>
      <w:bCs/>
      <w:color w:val="4F81BD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5A4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D02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imandocommento">
    <w:name w:val="annotation reference"/>
    <w:uiPriority w:val="99"/>
    <w:semiHidden/>
    <w:unhideWhenUsed/>
    <w:rsid w:val="00C361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1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361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1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36153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02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C002B2"/>
    <w:rPr>
      <w:sz w:val="20"/>
      <w:szCs w:val="20"/>
    </w:rPr>
  </w:style>
  <w:style w:type="character" w:styleId="Rimandonotaapidipagina">
    <w:name w:val="footnote reference"/>
    <w:unhideWhenUsed/>
    <w:rsid w:val="00C002B2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3C2C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character" w:customStyle="1" w:styleId="A0">
    <w:name w:val="A0"/>
    <w:uiPriority w:val="99"/>
    <w:rsid w:val="00C1083F"/>
    <w:rPr>
      <w:rFonts w:cs="Agfa Our Bodoni"/>
      <w:color w:val="000000"/>
      <w:sz w:val="20"/>
      <w:szCs w:val="20"/>
    </w:rPr>
  </w:style>
  <w:style w:type="paragraph" w:customStyle="1" w:styleId="Pa2">
    <w:name w:val="Pa2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character" w:customStyle="1" w:styleId="A5">
    <w:name w:val="A5"/>
    <w:uiPriority w:val="99"/>
    <w:rsid w:val="00C1083F"/>
    <w:rPr>
      <w:rFonts w:cs="Agfa Our Bodoni"/>
      <w:color w:val="000000"/>
      <w:sz w:val="10"/>
      <w:szCs w:val="10"/>
    </w:rPr>
  </w:style>
  <w:style w:type="paragraph" w:customStyle="1" w:styleId="Pa3">
    <w:name w:val="Pa3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6245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rsid w:val="0026245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E324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E324D"/>
    <w:pPr>
      <w:spacing w:after="100"/>
    </w:pPr>
  </w:style>
  <w:style w:type="character" w:styleId="Collegamentoipertestuale">
    <w:name w:val="Hyperlink"/>
    <w:uiPriority w:val="99"/>
    <w:unhideWhenUsed/>
    <w:rsid w:val="00BE324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C4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589"/>
  </w:style>
  <w:style w:type="paragraph" w:customStyle="1" w:styleId="E06FT-Testorientrato">
    <w:name w:val="E06_FT-Testo rientrato"/>
    <w:basedOn w:val="Normale"/>
    <w:qFormat/>
    <w:rsid w:val="0014271A"/>
    <w:pPr>
      <w:spacing w:after="0" w:line="240" w:lineRule="auto"/>
      <w:ind w:firstLine="567"/>
      <w:jc w:val="both"/>
    </w:pPr>
    <w:rPr>
      <w:rFonts w:ascii="Times New Roman MT Std" w:eastAsia="Times New Roman" w:hAnsi="Times New Roman MT Std"/>
      <w:color w:val="365F91"/>
      <w:szCs w:val="20"/>
      <w:lang w:eastAsia="it-IT"/>
    </w:rPr>
  </w:style>
  <w:style w:type="paragraph" w:customStyle="1" w:styleId="E15FT-Titolotabellagrafico">
    <w:name w:val="E15_FT-Titolo tabella/grafico"/>
    <w:basedOn w:val="Normale"/>
    <w:next w:val="Normale"/>
    <w:qFormat/>
    <w:rsid w:val="0014271A"/>
    <w:pPr>
      <w:keepNext/>
      <w:suppressAutoHyphens/>
      <w:spacing w:before="240" w:after="240" w:line="240" w:lineRule="auto"/>
      <w:ind w:left="709" w:hanging="709"/>
    </w:pPr>
    <w:rPr>
      <w:rFonts w:ascii="Helvetica LT Std Black" w:eastAsia="Times New Roman" w:hAnsi="Helvetica LT Std Black"/>
      <w:b/>
      <w:color w:val="336600"/>
      <w:sz w:val="18"/>
      <w:szCs w:val="20"/>
      <w:lang w:eastAsia="it-IT"/>
    </w:rPr>
  </w:style>
  <w:style w:type="paragraph" w:customStyle="1" w:styleId="E16FT-Testotabella">
    <w:name w:val="E16_FT-Testo tabella"/>
    <w:basedOn w:val="Normale"/>
    <w:qFormat/>
    <w:rsid w:val="0014271A"/>
    <w:pPr>
      <w:spacing w:before="120" w:after="0" w:line="240" w:lineRule="auto"/>
      <w:jc w:val="both"/>
    </w:pPr>
    <w:rPr>
      <w:rFonts w:ascii="Helvetica LT Std Light" w:eastAsia="Times New Roman" w:hAnsi="Helvetica LT Std Light" w:cs="Arial"/>
      <w:color w:val="009900"/>
      <w:sz w:val="18"/>
      <w:szCs w:val="18"/>
      <w:lang w:eastAsia="it-IT"/>
    </w:rPr>
  </w:style>
  <w:style w:type="paragraph" w:customStyle="1" w:styleId="E20FT-Testonota">
    <w:name w:val="E20_FT-Testo nota"/>
    <w:basedOn w:val="Normale"/>
    <w:link w:val="E20FT-TestonotaCarattere"/>
    <w:qFormat/>
    <w:rsid w:val="0014271A"/>
    <w:pPr>
      <w:tabs>
        <w:tab w:val="center" w:pos="4819"/>
        <w:tab w:val="right" w:pos="9638"/>
      </w:tabs>
      <w:spacing w:after="0" w:line="240" w:lineRule="auto"/>
      <w:jc w:val="both"/>
    </w:pPr>
    <w:rPr>
      <w:rFonts w:ascii="Helvetica LT Std" w:hAnsi="Helvetica LT Std"/>
      <w:color w:val="CC3300"/>
      <w:sz w:val="15"/>
      <w:szCs w:val="18"/>
      <w:lang w:eastAsia="it-IT"/>
    </w:rPr>
  </w:style>
  <w:style w:type="character" w:customStyle="1" w:styleId="E20FT-TestonotaCarattere">
    <w:name w:val="E20_FT-Testo nota Carattere"/>
    <w:link w:val="E20FT-Testonota"/>
    <w:rsid w:val="0014271A"/>
    <w:rPr>
      <w:rFonts w:ascii="Helvetica LT Std" w:eastAsia="Calibri" w:hAnsi="Helvetica LT Std" w:cs="Times New Roman"/>
      <w:color w:val="CC3300"/>
      <w:sz w:val="15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14271A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3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C62F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2A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2002CD"/>
    <w:pPr>
      <w:spacing w:line="240" w:lineRule="auto"/>
    </w:pPr>
    <w:rPr>
      <w:b/>
      <w:bCs/>
      <w:color w:val="4F81BD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5A4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D02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imandocommento">
    <w:name w:val="annotation reference"/>
    <w:uiPriority w:val="99"/>
    <w:semiHidden/>
    <w:unhideWhenUsed/>
    <w:rsid w:val="00C361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1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361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1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36153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02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C002B2"/>
    <w:rPr>
      <w:sz w:val="20"/>
      <w:szCs w:val="20"/>
    </w:rPr>
  </w:style>
  <w:style w:type="character" w:styleId="Rimandonotaapidipagina">
    <w:name w:val="footnote reference"/>
    <w:unhideWhenUsed/>
    <w:rsid w:val="00C002B2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3C2C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character" w:customStyle="1" w:styleId="A0">
    <w:name w:val="A0"/>
    <w:uiPriority w:val="99"/>
    <w:rsid w:val="00C1083F"/>
    <w:rPr>
      <w:rFonts w:cs="Agfa Our Bodoni"/>
      <w:color w:val="000000"/>
      <w:sz w:val="20"/>
      <w:szCs w:val="20"/>
    </w:rPr>
  </w:style>
  <w:style w:type="paragraph" w:customStyle="1" w:styleId="Pa2">
    <w:name w:val="Pa2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character" w:customStyle="1" w:styleId="A5">
    <w:name w:val="A5"/>
    <w:uiPriority w:val="99"/>
    <w:rsid w:val="00C1083F"/>
    <w:rPr>
      <w:rFonts w:cs="Agfa Our Bodoni"/>
      <w:color w:val="000000"/>
      <w:sz w:val="10"/>
      <w:szCs w:val="10"/>
    </w:rPr>
  </w:style>
  <w:style w:type="paragraph" w:customStyle="1" w:styleId="Pa3">
    <w:name w:val="Pa3"/>
    <w:basedOn w:val="Normale"/>
    <w:next w:val="Normale"/>
    <w:uiPriority w:val="99"/>
    <w:rsid w:val="00C1083F"/>
    <w:pPr>
      <w:autoSpaceDE w:val="0"/>
      <w:autoSpaceDN w:val="0"/>
      <w:adjustRightInd w:val="0"/>
      <w:spacing w:after="0" w:line="241" w:lineRule="atLeast"/>
    </w:pPr>
    <w:rPr>
      <w:rFonts w:ascii="Agfa Our Bodoni" w:hAnsi="Agfa Our Bodoni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6245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rsid w:val="0026245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E324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E324D"/>
    <w:pPr>
      <w:spacing w:after="100"/>
    </w:pPr>
  </w:style>
  <w:style w:type="character" w:styleId="Collegamentoipertestuale">
    <w:name w:val="Hyperlink"/>
    <w:uiPriority w:val="99"/>
    <w:unhideWhenUsed/>
    <w:rsid w:val="00BE324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C4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589"/>
  </w:style>
  <w:style w:type="paragraph" w:customStyle="1" w:styleId="E06FT-Testorientrato">
    <w:name w:val="E06_FT-Testo rientrato"/>
    <w:basedOn w:val="Normale"/>
    <w:qFormat/>
    <w:rsid w:val="0014271A"/>
    <w:pPr>
      <w:spacing w:after="0" w:line="240" w:lineRule="auto"/>
      <w:ind w:firstLine="567"/>
      <w:jc w:val="both"/>
    </w:pPr>
    <w:rPr>
      <w:rFonts w:ascii="Times New Roman MT Std" w:eastAsia="Times New Roman" w:hAnsi="Times New Roman MT Std"/>
      <w:color w:val="365F91"/>
      <w:szCs w:val="20"/>
      <w:lang w:eastAsia="it-IT"/>
    </w:rPr>
  </w:style>
  <w:style w:type="paragraph" w:customStyle="1" w:styleId="E15FT-Titolotabellagrafico">
    <w:name w:val="E15_FT-Titolo tabella/grafico"/>
    <w:basedOn w:val="Normale"/>
    <w:next w:val="Normale"/>
    <w:qFormat/>
    <w:rsid w:val="0014271A"/>
    <w:pPr>
      <w:keepNext/>
      <w:suppressAutoHyphens/>
      <w:spacing w:before="240" w:after="240" w:line="240" w:lineRule="auto"/>
      <w:ind w:left="709" w:hanging="709"/>
    </w:pPr>
    <w:rPr>
      <w:rFonts w:ascii="Helvetica LT Std Black" w:eastAsia="Times New Roman" w:hAnsi="Helvetica LT Std Black"/>
      <w:b/>
      <w:color w:val="336600"/>
      <w:sz w:val="18"/>
      <w:szCs w:val="20"/>
      <w:lang w:eastAsia="it-IT"/>
    </w:rPr>
  </w:style>
  <w:style w:type="paragraph" w:customStyle="1" w:styleId="E16FT-Testotabella">
    <w:name w:val="E16_FT-Testo tabella"/>
    <w:basedOn w:val="Normale"/>
    <w:qFormat/>
    <w:rsid w:val="0014271A"/>
    <w:pPr>
      <w:spacing w:before="120" w:after="0" w:line="240" w:lineRule="auto"/>
      <w:jc w:val="both"/>
    </w:pPr>
    <w:rPr>
      <w:rFonts w:ascii="Helvetica LT Std Light" w:eastAsia="Times New Roman" w:hAnsi="Helvetica LT Std Light" w:cs="Arial"/>
      <w:color w:val="009900"/>
      <w:sz w:val="18"/>
      <w:szCs w:val="18"/>
      <w:lang w:eastAsia="it-IT"/>
    </w:rPr>
  </w:style>
  <w:style w:type="paragraph" w:customStyle="1" w:styleId="E20FT-Testonota">
    <w:name w:val="E20_FT-Testo nota"/>
    <w:basedOn w:val="Normale"/>
    <w:link w:val="E20FT-TestonotaCarattere"/>
    <w:qFormat/>
    <w:rsid w:val="0014271A"/>
    <w:pPr>
      <w:tabs>
        <w:tab w:val="center" w:pos="4819"/>
        <w:tab w:val="right" w:pos="9638"/>
      </w:tabs>
      <w:spacing w:after="0" w:line="240" w:lineRule="auto"/>
      <w:jc w:val="both"/>
    </w:pPr>
    <w:rPr>
      <w:rFonts w:ascii="Helvetica LT Std" w:hAnsi="Helvetica LT Std"/>
      <w:color w:val="CC3300"/>
      <w:sz w:val="15"/>
      <w:szCs w:val="18"/>
      <w:lang w:eastAsia="it-IT"/>
    </w:rPr>
  </w:style>
  <w:style w:type="character" w:customStyle="1" w:styleId="E20FT-TestonotaCarattere">
    <w:name w:val="E20_FT-Testo nota Carattere"/>
    <w:link w:val="E20FT-Testonota"/>
    <w:rsid w:val="0014271A"/>
    <w:rPr>
      <w:rFonts w:ascii="Helvetica LT Std" w:eastAsia="Calibri" w:hAnsi="Helvetica LT Std" w:cs="Times New Roman"/>
      <w:color w:val="CC3300"/>
      <w:sz w:val="15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14271A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5BD6-72AA-4FD6-A336-537010A5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25373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Persico Clementina</dc:creator>
  <cp:lastModifiedBy>Marina Ripoli</cp:lastModifiedBy>
  <cp:revision>4</cp:revision>
  <cp:lastPrinted>2014-03-27T14:47:00Z</cp:lastPrinted>
  <dcterms:created xsi:type="dcterms:W3CDTF">2014-02-17T14:43:00Z</dcterms:created>
  <dcterms:modified xsi:type="dcterms:W3CDTF">2014-03-27T15:32:00Z</dcterms:modified>
</cp:coreProperties>
</file>